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7C5" w:rsidRPr="00651499" w:rsidRDefault="00D347C5" w:rsidP="00D347C5">
      <w:pPr>
        <w:jc w:val="center"/>
        <w:rPr>
          <w:rFonts w:ascii="Arial" w:hAnsi="Arial" w:cs="Arial"/>
          <w:bCs/>
          <w:sz w:val="44"/>
          <w:szCs w:val="44"/>
        </w:rPr>
      </w:pPr>
      <w:r w:rsidRPr="00651499">
        <w:rPr>
          <w:rFonts w:ascii="Arial" w:hAnsi="Arial" w:cs="Arial"/>
          <w:bCs/>
          <w:sz w:val="44"/>
          <w:szCs w:val="44"/>
        </w:rPr>
        <w:t>ECE 20</w:t>
      </w:r>
      <w:r w:rsidR="0034527B">
        <w:rPr>
          <w:rFonts w:ascii="Arial" w:hAnsi="Arial" w:cs="Arial"/>
          <w:bCs/>
          <w:sz w:val="44"/>
          <w:szCs w:val="44"/>
        </w:rPr>
        <w:t>4</w:t>
      </w:r>
      <w:r w:rsidR="008C5A58">
        <w:rPr>
          <w:rFonts w:ascii="Arial" w:hAnsi="Arial" w:cs="Arial"/>
          <w:bCs/>
          <w:sz w:val="44"/>
          <w:szCs w:val="44"/>
        </w:rPr>
        <w:t xml:space="preserve"> - </w:t>
      </w:r>
      <w:r w:rsidR="0034527B">
        <w:rPr>
          <w:rFonts w:ascii="Arial" w:hAnsi="Arial" w:cs="Arial"/>
          <w:bCs/>
          <w:sz w:val="44"/>
          <w:szCs w:val="44"/>
        </w:rPr>
        <w:t>A</w:t>
      </w:r>
      <w:r w:rsidRPr="00651499">
        <w:rPr>
          <w:rFonts w:ascii="Arial" w:hAnsi="Arial" w:cs="Arial"/>
          <w:bCs/>
          <w:sz w:val="44"/>
          <w:szCs w:val="44"/>
        </w:rPr>
        <w:t>C CIRCUITS</w:t>
      </w:r>
    </w:p>
    <w:p w:rsidR="00D347C5" w:rsidRPr="00684625" w:rsidRDefault="00D347C5" w:rsidP="00D347C5">
      <w:pPr>
        <w:jc w:val="center"/>
        <w:rPr>
          <w:rFonts w:ascii="Arial" w:hAnsi="Arial" w:cs="Arial"/>
          <w:bCs/>
          <w:sz w:val="36"/>
          <w:szCs w:val="36"/>
        </w:rPr>
      </w:pPr>
    </w:p>
    <w:p w:rsidR="00D347C5" w:rsidRPr="00651499" w:rsidRDefault="008C5A58" w:rsidP="00D347C5">
      <w:pPr>
        <w:jc w:val="center"/>
        <w:rPr>
          <w:rFonts w:ascii="Arial" w:hAnsi="Arial" w:cs="Arial"/>
          <w:bCs/>
          <w:sz w:val="36"/>
          <w:szCs w:val="36"/>
        </w:rPr>
      </w:pPr>
      <w:r>
        <w:rPr>
          <w:rFonts w:ascii="Arial" w:hAnsi="Arial" w:cs="Arial"/>
          <w:bCs/>
          <w:sz w:val="36"/>
          <w:szCs w:val="36"/>
        </w:rPr>
        <w:t xml:space="preserve">Lab </w:t>
      </w:r>
      <w:r w:rsidR="00936E91">
        <w:rPr>
          <w:rFonts w:ascii="Arial" w:hAnsi="Arial" w:cs="Arial"/>
          <w:bCs/>
          <w:sz w:val="36"/>
          <w:szCs w:val="36"/>
        </w:rPr>
        <w:t>4</w:t>
      </w:r>
      <w:r w:rsidR="00D347C5" w:rsidRPr="00651499">
        <w:rPr>
          <w:rFonts w:ascii="Arial" w:hAnsi="Arial" w:cs="Arial"/>
          <w:bCs/>
          <w:sz w:val="36"/>
          <w:szCs w:val="36"/>
        </w:rPr>
        <w:t xml:space="preserve"> </w:t>
      </w:r>
      <w:r>
        <w:rPr>
          <w:rFonts w:ascii="Arial" w:hAnsi="Arial" w:cs="Arial"/>
          <w:bCs/>
          <w:sz w:val="36"/>
          <w:szCs w:val="36"/>
        </w:rPr>
        <w:t>-</w:t>
      </w:r>
      <w:r w:rsidR="00D347C5" w:rsidRPr="00651499">
        <w:rPr>
          <w:rFonts w:ascii="Arial" w:hAnsi="Arial" w:cs="Arial"/>
          <w:bCs/>
          <w:sz w:val="36"/>
          <w:szCs w:val="36"/>
        </w:rPr>
        <w:t xml:space="preserve"> </w:t>
      </w:r>
      <w:r w:rsidR="007242A6">
        <w:rPr>
          <w:rFonts w:ascii="Arial" w:hAnsi="Arial" w:cs="Arial"/>
          <w:bCs/>
          <w:sz w:val="36"/>
          <w:szCs w:val="36"/>
        </w:rPr>
        <w:t xml:space="preserve">Superposition, </w:t>
      </w:r>
      <w:r w:rsidR="00862E7F">
        <w:rPr>
          <w:rFonts w:ascii="Arial" w:hAnsi="Arial" w:cs="Arial"/>
          <w:sz w:val="36"/>
          <w:szCs w:val="20"/>
        </w:rPr>
        <w:t>Nodal &amp; Mesh Analysis</w:t>
      </w:r>
    </w:p>
    <w:p w:rsidR="00D347C5" w:rsidRDefault="00D347C5" w:rsidP="00D347C5">
      <w:pPr>
        <w:jc w:val="both"/>
        <w:rPr>
          <w:rFonts w:ascii="Arial" w:hAnsi="Arial" w:cs="Arial"/>
        </w:rPr>
      </w:pPr>
    </w:p>
    <w:p w:rsidR="00D347C5" w:rsidRDefault="009905DA" w:rsidP="003575BF">
      <w:pPr>
        <w:jc w:val="both"/>
        <w:rPr>
          <w:rFonts w:ascii="Arial" w:hAnsi="Arial" w:cs="Arial"/>
        </w:rPr>
      </w:pPr>
      <w:r w:rsidRPr="009905DA">
        <w:rPr>
          <w:rFonts w:ascii="Arial" w:hAnsi="Arial" w:cs="Arial"/>
        </w:rPr>
        <w:t>The objectives of</w:t>
      </w:r>
      <w:r w:rsidR="003575BF">
        <w:rPr>
          <w:rFonts w:ascii="Arial" w:hAnsi="Arial" w:cs="Arial"/>
        </w:rPr>
        <w:t xml:space="preserve"> this laboratory are to predict nodal voltages and mesh currents in the phasor domain and to confirm the predictions with direct phasor measurements.</w:t>
      </w:r>
    </w:p>
    <w:p w:rsidR="003575BF" w:rsidRDefault="003575BF" w:rsidP="003575BF">
      <w:pPr>
        <w:ind w:left="720" w:hanging="720"/>
        <w:jc w:val="both"/>
        <w:rPr>
          <w:rFonts w:ascii="Arial" w:hAnsi="Arial" w:cs="Arial"/>
        </w:rPr>
      </w:pPr>
    </w:p>
    <w:p w:rsidR="008C5A58" w:rsidRPr="009905DA" w:rsidRDefault="008C5A58" w:rsidP="003575BF">
      <w:pPr>
        <w:ind w:left="720" w:hanging="720"/>
        <w:jc w:val="both"/>
        <w:rPr>
          <w:rFonts w:ascii="Arial" w:hAnsi="Arial" w:cs="Arial"/>
        </w:rPr>
        <w:sectPr w:rsidR="008C5A58" w:rsidRPr="009905DA" w:rsidSect="00CF3C41">
          <w:footerReference w:type="default" r:id="rId7"/>
          <w:type w:val="continuous"/>
          <w:pgSz w:w="12240" w:h="15840"/>
          <w:pgMar w:top="1440" w:right="1440" w:bottom="360" w:left="1440" w:header="720" w:footer="360" w:gutter="0"/>
          <w:cols w:space="720"/>
          <w:noEndnote/>
          <w:docGrid w:linePitch="326"/>
        </w:sectPr>
      </w:pPr>
    </w:p>
    <w:p w:rsidR="00D347C5" w:rsidRPr="009905DA" w:rsidRDefault="00D347C5" w:rsidP="00D347C5">
      <w:pPr>
        <w:jc w:val="both"/>
        <w:rPr>
          <w:rFonts w:ascii="Arial" w:hAnsi="Arial" w:cs="Arial"/>
        </w:rPr>
      </w:pPr>
    </w:p>
    <w:p w:rsidR="00D347C5" w:rsidRPr="00651499" w:rsidRDefault="00D347C5" w:rsidP="00D347C5">
      <w:pPr>
        <w:tabs>
          <w:tab w:val="center" w:pos="2462"/>
        </w:tabs>
        <w:jc w:val="center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1.0   </w:t>
      </w:r>
      <w:r w:rsidRPr="00651499">
        <w:rPr>
          <w:rFonts w:ascii="Arial" w:hAnsi="Arial" w:cs="Arial"/>
          <w:bCs/>
          <w:sz w:val="32"/>
          <w:szCs w:val="32"/>
        </w:rPr>
        <w:t>PRE-LAB</w:t>
      </w:r>
    </w:p>
    <w:p w:rsidR="00D347C5" w:rsidRDefault="00D347C5" w:rsidP="00D347C5">
      <w:pPr>
        <w:ind w:hanging="540"/>
        <w:jc w:val="both"/>
        <w:rPr>
          <w:rFonts w:ascii="Arial" w:hAnsi="Arial" w:cs="Arial"/>
        </w:rPr>
      </w:pPr>
    </w:p>
    <w:p w:rsidR="00D347C5" w:rsidRDefault="00D347C5" w:rsidP="00D347C5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1.1</w:t>
      </w:r>
      <w:r>
        <w:rPr>
          <w:rFonts w:ascii="Arial" w:hAnsi="Arial" w:cs="Arial"/>
        </w:rPr>
        <w:tab/>
        <w:t xml:space="preserve">Read the complete laboratory procedure and be ready to apply it to your work.  If you do not understand anything in the lab procedure, go and ask your instructor </w:t>
      </w:r>
      <w:r>
        <w:rPr>
          <w:rFonts w:ascii="Arial" w:hAnsi="Arial"/>
        </w:rPr>
        <w:t>—</w:t>
      </w:r>
      <w:r>
        <w:rPr>
          <w:rFonts w:ascii="Arial" w:hAnsi="Arial" w:cs="Arial"/>
        </w:rPr>
        <w:t xml:space="preserve"> don’t wait until the lab has started; remember, the instructor has to deal with fifteen groups and you will be “waiting in line”.  Note that “waiting in line” is not a valid excuse for failing to finish the lab.  You are expected to “budget your time” in lab and not waste it socializing. </w:t>
      </w:r>
    </w:p>
    <w:p w:rsidR="00D347C5" w:rsidRDefault="00D347C5" w:rsidP="00D347C5">
      <w:pPr>
        <w:ind w:hanging="720"/>
        <w:jc w:val="both"/>
        <w:rPr>
          <w:rFonts w:ascii="Arial" w:hAnsi="Arial" w:cs="Arial"/>
        </w:rPr>
      </w:pPr>
    </w:p>
    <w:p w:rsidR="00BD42D2" w:rsidRDefault="00AD11C9" w:rsidP="00AD11C9">
      <w:pPr>
        <w:ind w:hanging="720"/>
        <w:jc w:val="both"/>
        <w:rPr>
          <w:rFonts w:ascii="Arial" w:hAnsi="Arial" w:cs="Arial"/>
        </w:rPr>
      </w:pPr>
      <w:r w:rsidRPr="00AD11C9">
        <w:rPr>
          <w:rFonts w:ascii="Arial" w:hAnsi="Arial" w:cs="Arial"/>
        </w:rPr>
        <w:t>1.</w:t>
      </w:r>
      <w:r>
        <w:rPr>
          <w:rFonts w:ascii="Arial" w:hAnsi="Arial" w:cs="Arial"/>
        </w:rPr>
        <w:t>2</w:t>
      </w:r>
      <w:r>
        <w:rPr>
          <w:rFonts w:ascii="Arial" w:hAnsi="Arial" w:cs="Arial"/>
        </w:rPr>
        <w:tab/>
      </w:r>
      <w:r w:rsidR="00BD42D2">
        <w:rPr>
          <w:rFonts w:ascii="Arial" w:hAnsi="Arial" w:cs="Arial"/>
        </w:rPr>
        <w:t>Re-draw Figure 1 in the phasor domain, based on a frequency of 1.5 kHz.</w:t>
      </w:r>
    </w:p>
    <w:p w:rsidR="00BD42D2" w:rsidRDefault="00BD42D2" w:rsidP="00AD11C9">
      <w:pPr>
        <w:ind w:hanging="720"/>
        <w:jc w:val="both"/>
        <w:rPr>
          <w:rFonts w:ascii="Arial" w:hAnsi="Arial" w:cs="Arial"/>
        </w:rPr>
      </w:pPr>
    </w:p>
    <w:p w:rsidR="003A6D47" w:rsidRDefault="00BD42D2" w:rsidP="008C5A58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1.3</w:t>
      </w:r>
      <w:r>
        <w:rPr>
          <w:rFonts w:ascii="Arial" w:hAnsi="Arial" w:cs="Arial"/>
        </w:rPr>
        <w:tab/>
      </w:r>
      <w:r w:rsidR="00D347C5">
        <w:rPr>
          <w:rFonts w:ascii="Arial" w:hAnsi="Arial" w:cs="Arial"/>
        </w:rPr>
        <w:t xml:space="preserve">Apply </w:t>
      </w:r>
      <w:r>
        <w:rPr>
          <w:rFonts w:ascii="Arial" w:hAnsi="Arial" w:cs="Arial"/>
        </w:rPr>
        <w:t>Nodal Analysis</w:t>
      </w:r>
      <w:r w:rsidR="00D347C5">
        <w:rPr>
          <w:rFonts w:ascii="Arial" w:hAnsi="Arial" w:cs="Arial"/>
        </w:rPr>
        <w:t xml:space="preserve"> to</w:t>
      </w:r>
      <w:r w:rsidR="007719EA">
        <w:rPr>
          <w:rFonts w:ascii="Arial" w:hAnsi="Arial" w:cs="Arial"/>
        </w:rPr>
        <w:t xml:space="preserve"> Figure 1 and</w:t>
      </w:r>
      <w:r w:rsidR="00D347C5">
        <w:rPr>
          <w:rFonts w:ascii="Arial" w:hAnsi="Arial" w:cs="Arial"/>
        </w:rPr>
        <w:t xml:space="preserve"> make predictions for the</w:t>
      </w:r>
      <w:r w:rsidR="00B6378F">
        <w:rPr>
          <w:rFonts w:ascii="Arial" w:hAnsi="Arial" w:cs="Arial"/>
        </w:rPr>
        <w:t xml:space="preserve"> nodal voltages, then determine the superposition components for the left and right </w:t>
      </w:r>
      <w:r w:rsidR="00B6378F" w:rsidRPr="00101890">
        <w:rPr>
          <w:rFonts w:ascii="Arial" w:hAnsi="Arial" w:cs="Arial"/>
        </w:rPr>
        <w:t>Function</w:t>
      </w:r>
      <w:r w:rsidR="00B6378F">
        <w:rPr>
          <w:rFonts w:ascii="Arial" w:hAnsi="Arial" w:cs="Arial"/>
        </w:rPr>
        <w:t xml:space="preserve"> Generators (</w:t>
      </w:r>
      <w:r w:rsidR="00A73B8C">
        <w:rPr>
          <w:rFonts w:ascii="Arial" w:hAnsi="Arial" w:cs="Arial"/>
        </w:rPr>
        <w:t>AW</w:t>
      </w:r>
      <w:r w:rsidR="008C5A58">
        <w:rPr>
          <w:rFonts w:ascii="Arial" w:hAnsi="Arial" w:cs="Arial"/>
        </w:rPr>
        <w:t>G1 &amp; AGW2</w:t>
      </w:r>
      <w:r w:rsidR="00B6378F">
        <w:rPr>
          <w:rFonts w:ascii="Arial" w:hAnsi="Arial" w:cs="Arial"/>
        </w:rPr>
        <w:t xml:space="preserve">).  </w:t>
      </w:r>
      <w:r w:rsidR="00F33E58">
        <w:rPr>
          <w:rFonts w:ascii="Arial" w:hAnsi="Arial" w:cs="Arial"/>
        </w:rPr>
        <w:t>Also determine the</w:t>
      </w:r>
      <w:r w:rsidR="00B6378F">
        <w:rPr>
          <w:rFonts w:ascii="Arial" w:hAnsi="Arial" w:cs="Arial"/>
        </w:rPr>
        <w:t xml:space="preserve"> Mesh </w:t>
      </w:r>
      <w:r w:rsidR="00F33E58">
        <w:rPr>
          <w:rFonts w:ascii="Arial" w:hAnsi="Arial" w:cs="Arial"/>
        </w:rPr>
        <w:t>Currents for both sources active</w:t>
      </w:r>
      <w:r w:rsidR="00B6378F">
        <w:rPr>
          <w:rFonts w:ascii="Arial" w:hAnsi="Arial" w:cs="Arial"/>
        </w:rPr>
        <w:t xml:space="preserve"> and fill in the</w:t>
      </w:r>
      <w:r w:rsidR="009F354E">
        <w:rPr>
          <w:rFonts w:ascii="Arial" w:hAnsi="Arial" w:cs="Arial"/>
        </w:rPr>
        <w:t xml:space="preserve"> </w:t>
      </w:r>
      <w:r w:rsidR="008C5A58">
        <w:rPr>
          <w:rFonts w:ascii="Arial" w:hAnsi="Arial" w:cs="Arial"/>
        </w:rPr>
        <w:t>blank items in T</w:t>
      </w:r>
      <w:r w:rsidR="006B0313">
        <w:rPr>
          <w:rFonts w:ascii="Arial" w:hAnsi="Arial" w:cs="Arial"/>
        </w:rPr>
        <w:t>ables 1 &amp; 2.</w:t>
      </w:r>
      <w:r w:rsidR="00B11748">
        <w:rPr>
          <w:rFonts w:ascii="Arial" w:hAnsi="Arial" w:cs="Arial"/>
        </w:rPr>
        <w:t xml:space="preserve">  Make the predictions phasor quantities, with </w:t>
      </w:r>
      <w:r w:rsidR="008C5A58">
        <w:rPr>
          <w:rFonts w:ascii="Arial" w:hAnsi="Arial" w:cs="Arial"/>
        </w:rPr>
        <w:t>peak</w:t>
      </w:r>
      <w:r w:rsidR="00B11748">
        <w:rPr>
          <w:rFonts w:ascii="Arial" w:hAnsi="Arial" w:cs="Arial"/>
        </w:rPr>
        <w:t xml:space="preserve"> magnitudes and angles in degrees</w:t>
      </w:r>
      <w:r w:rsidR="00F33E58">
        <w:rPr>
          <w:rFonts w:ascii="Arial" w:hAnsi="Arial" w:cs="Arial"/>
        </w:rPr>
        <w:t xml:space="preserve"> with respect to the same reference point</w:t>
      </w:r>
      <w:r w:rsidR="00D10B7D">
        <w:rPr>
          <w:rFonts w:ascii="Arial" w:hAnsi="Arial" w:cs="Arial"/>
        </w:rPr>
        <w:t>.</w:t>
      </w:r>
      <w:r w:rsidR="000F61D8">
        <w:rPr>
          <w:rFonts w:ascii="Arial" w:hAnsi="Arial" w:cs="Arial"/>
        </w:rPr>
        <w:t xml:space="preserve">  </w:t>
      </w:r>
    </w:p>
    <w:p w:rsidR="008C5A58" w:rsidRPr="00A82C9D" w:rsidRDefault="008C5A58" w:rsidP="008C5A58">
      <w:pPr>
        <w:ind w:hanging="720"/>
        <w:jc w:val="both"/>
        <w:rPr>
          <w:sz w:val="18"/>
          <w:szCs w:val="18"/>
        </w:rPr>
      </w:pPr>
    </w:p>
    <w:p w:rsidR="003A6D47" w:rsidRDefault="003A6D47" w:rsidP="003A6D47">
      <w:pPr>
        <w:jc w:val="center"/>
        <w:rPr>
          <w:rFonts w:ascii="Arial" w:hAnsi="Arial" w:cs="Arial"/>
          <w:b/>
          <w:sz w:val="20"/>
          <w:szCs w:val="20"/>
        </w:rPr>
      </w:pPr>
    </w:p>
    <w:p w:rsidR="003A6D47" w:rsidRDefault="003A6D47" w:rsidP="003A6D47">
      <w:pPr>
        <w:jc w:val="center"/>
        <w:rPr>
          <w:rFonts w:ascii="Arial" w:hAnsi="Arial" w:cs="Arial"/>
          <w:b/>
          <w:sz w:val="20"/>
          <w:szCs w:val="20"/>
        </w:rPr>
        <w:sectPr w:rsidR="003A6D47" w:rsidSect="003A6D47">
          <w:headerReference w:type="default" r:id="rId8"/>
          <w:type w:val="continuous"/>
          <w:pgSz w:w="12240" w:h="15840"/>
          <w:pgMar w:top="720" w:right="1440" w:bottom="288" w:left="1440" w:header="720" w:footer="720" w:gutter="0"/>
          <w:cols w:space="720"/>
          <w:docGrid w:linePitch="360"/>
        </w:sectPr>
      </w:pPr>
    </w:p>
    <w:p w:rsidR="003A6D47" w:rsidRDefault="003A6D47" w:rsidP="003A6D47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Table 1—Ideal Predictions for Nodal Voltages</w:t>
      </w:r>
    </w:p>
    <w:p w:rsidR="008C5A58" w:rsidRDefault="008C5A58" w:rsidP="003A6D47">
      <w:pPr>
        <w:jc w:val="center"/>
        <w:rPr>
          <w:rFonts w:ascii="Arial" w:hAnsi="Arial" w:cs="Arial"/>
        </w:rPr>
      </w:pPr>
    </w:p>
    <w:tbl>
      <w:tblPr>
        <w:tblW w:w="0" w:type="auto"/>
        <w:jc w:val="right"/>
        <w:tblBorders>
          <w:top w:val="double" w:sz="12" w:space="0" w:color="000000"/>
          <w:left w:val="double" w:sz="12" w:space="0" w:color="000000"/>
          <w:bottom w:val="double" w:sz="12" w:space="0" w:color="000000"/>
          <w:right w:val="double" w:sz="12" w:space="0" w:color="000000"/>
          <w:insideV w:val="double" w:sz="12" w:space="0" w:color="000000"/>
        </w:tblBorders>
        <w:tblCellMar>
          <w:left w:w="145" w:type="dxa"/>
          <w:right w:w="145" w:type="dxa"/>
        </w:tblCellMar>
        <w:tblLook w:val="0000" w:firstRow="0" w:lastRow="0" w:firstColumn="0" w:lastColumn="0" w:noHBand="0" w:noVBand="0"/>
      </w:tblPr>
      <w:tblGrid>
        <w:gridCol w:w="896"/>
        <w:gridCol w:w="1238"/>
        <w:gridCol w:w="1238"/>
        <w:gridCol w:w="1238"/>
      </w:tblGrid>
      <w:tr w:rsidR="003A6D47" w:rsidRPr="00D6462B" w:rsidTr="00B11F24">
        <w:trPr>
          <w:trHeight w:val="495"/>
          <w:jc w:val="right"/>
        </w:trPr>
        <w:tc>
          <w:tcPr>
            <w:tcW w:w="91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A6D47" w:rsidRPr="00D6462B" w:rsidRDefault="003A6D47" w:rsidP="00A34DFD">
            <w:pPr>
              <w:spacing w:before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Item</w:t>
            </w:r>
          </w:p>
        </w:tc>
        <w:tc>
          <w:tcPr>
            <w:tcW w:w="13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A6D47" w:rsidRPr="00D6462B" w:rsidRDefault="003A6D47" w:rsidP="00A34DFD">
            <w:pPr>
              <w:spacing w:before="80"/>
              <w:ind w:left="-972" w:firstLine="81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Total</w:t>
            </w:r>
          </w:p>
        </w:tc>
        <w:tc>
          <w:tcPr>
            <w:tcW w:w="13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A6D47" w:rsidRDefault="003A6D47" w:rsidP="00A34DFD">
            <w:pPr>
              <w:spacing w:before="80"/>
              <w:ind w:left="-972" w:firstLine="81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AWG1</w:t>
            </w:r>
          </w:p>
        </w:tc>
        <w:tc>
          <w:tcPr>
            <w:tcW w:w="13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A6D47" w:rsidRDefault="003A6D47" w:rsidP="00A34DFD">
            <w:pPr>
              <w:spacing w:before="80"/>
              <w:ind w:left="-972" w:firstLine="81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AWG2</w:t>
            </w:r>
          </w:p>
        </w:tc>
      </w:tr>
      <w:tr w:rsidR="003A6D47" w:rsidRPr="00D6462B" w:rsidTr="00B11F24">
        <w:trPr>
          <w:trHeight w:val="495"/>
          <w:jc w:val="right"/>
        </w:trPr>
        <w:tc>
          <w:tcPr>
            <w:tcW w:w="918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3A6D47" w:rsidRPr="00B11748" w:rsidRDefault="003A6D47" w:rsidP="00A34DFD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  <w:i/>
              </w:rPr>
              <w:t>V</w:t>
            </w:r>
            <w:r>
              <w:rPr>
                <w:rFonts w:ascii="Arial" w:hAnsi="Arial" w:cs="Arial"/>
                <w:b/>
                <w:bCs/>
                <w:i/>
                <w:vertAlign w:val="subscript"/>
              </w:rPr>
              <w:t>1</w:t>
            </w:r>
          </w:p>
        </w:tc>
        <w:tc>
          <w:tcPr>
            <w:tcW w:w="1386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3A6D47" w:rsidRPr="00D6462B" w:rsidRDefault="003A6D47" w:rsidP="00A34DFD">
            <w:pPr>
              <w:tabs>
                <w:tab w:val="center" w:pos="1115"/>
              </w:tabs>
              <w:spacing w:before="80" w:after="80"/>
              <w:ind w:left="-2365" w:right="-236" w:firstLine="2203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3A6D47" w:rsidRPr="00D6462B" w:rsidRDefault="003A6D47" w:rsidP="00A34DFD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3A6D47" w:rsidRPr="00D6462B" w:rsidRDefault="003A6D47" w:rsidP="00A34DFD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  <w:tr w:rsidR="003A6D47" w:rsidRPr="00D6462B" w:rsidTr="00B11F24">
        <w:trPr>
          <w:trHeight w:val="495"/>
          <w:jc w:val="right"/>
        </w:trPr>
        <w:tc>
          <w:tcPr>
            <w:tcW w:w="918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3A6D47" w:rsidRDefault="003A6D47" w:rsidP="00A34DFD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  <w:i/>
              </w:rPr>
              <w:t>V</w:t>
            </w:r>
            <w:r>
              <w:rPr>
                <w:rFonts w:ascii="Arial" w:hAnsi="Arial" w:cs="Arial"/>
                <w:b/>
                <w:bCs/>
                <w:i/>
                <w:vertAlign w:val="subscript"/>
              </w:rPr>
              <w:t>2</w:t>
            </w:r>
          </w:p>
        </w:tc>
        <w:tc>
          <w:tcPr>
            <w:tcW w:w="1386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3A6D47" w:rsidRDefault="003A6D47" w:rsidP="00A34DFD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3A6D47" w:rsidRDefault="003A6D47" w:rsidP="00A34DFD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3A6D47" w:rsidRDefault="003A6D47" w:rsidP="00A34DFD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  <w:tr w:rsidR="003A6D47" w:rsidRPr="00D6462B" w:rsidTr="00B11F24">
        <w:trPr>
          <w:trHeight w:val="495"/>
          <w:jc w:val="right"/>
        </w:trPr>
        <w:tc>
          <w:tcPr>
            <w:tcW w:w="918" w:type="dxa"/>
            <w:tcBorders>
              <w:top w:val="single" w:sz="6" w:space="0" w:color="auto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A6D47" w:rsidRDefault="003A6D47" w:rsidP="00A34DFD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  <w:i/>
              </w:rPr>
              <w:t>V</w:t>
            </w:r>
            <w:r>
              <w:rPr>
                <w:rFonts w:ascii="Arial" w:hAnsi="Arial" w:cs="Arial"/>
                <w:b/>
                <w:bCs/>
                <w:i/>
                <w:vertAlign w:val="subscript"/>
              </w:rPr>
              <w:t>3</w:t>
            </w:r>
          </w:p>
        </w:tc>
        <w:tc>
          <w:tcPr>
            <w:tcW w:w="1386" w:type="dxa"/>
            <w:tcBorders>
              <w:top w:val="single" w:sz="6" w:space="0" w:color="auto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A6D47" w:rsidRDefault="003A6D47" w:rsidP="00A34DFD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A6D47" w:rsidRDefault="003A6D47" w:rsidP="00A34DFD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A6D47" w:rsidRDefault="003A6D47" w:rsidP="00A34DFD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</w:tbl>
    <w:p w:rsidR="003A6D47" w:rsidRDefault="003A6D47" w:rsidP="003A6D47">
      <w:pPr>
        <w:jc w:val="center"/>
        <w:rPr>
          <w:rFonts w:ascii="Arial" w:hAnsi="Arial" w:cs="Arial"/>
          <w:b/>
          <w:sz w:val="20"/>
          <w:szCs w:val="20"/>
        </w:rPr>
      </w:pPr>
    </w:p>
    <w:p w:rsidR="003A6D47" w:rsidRDefault="003A6D47" w:rsidP="003A6D47">
      <w:pPr>
        <w:jc w:val="center"/>
        <w:rPr>
          <w:rFonts w:ascii="Arial" w:hAnsi="Arial" w:cs="Arial"/>
          <w:b/>
          <w:sz w:val="20"/>
          <w:szCs w:val="20"/>
        </w:rPr>
      </w:pPr>
    </w:p>
    <w:p w:rsidR="003A6D47" w:rsidRPr="00A82C9D" w:rsidRDefault="003A6D47" w:rsidP="003A6D47">
      <w:pPr>
        <w:jc w:val="center"/>
        <w:rPr>
          <w:rFonts w:ascii="Arial" w:hAnsi="Arial" w:cs="Arial"/>
          <w:b/>
          <w:sz w:val="16"/>
          <w:szCs w:val="16"/>
        </w:rPr>
      </w:pPr>
    </w:p>
    <w:p w:rsidR="003A6D47" w:rsidRDefault="003A6D47" w:rsidP="003A6D47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Table 2—Ideal Predictions for Mesh Currents</w:t>
      </w:r>
    </w:p>
    <w:p w:rsidR="008C5A58" w:rsidRDefault="008C5A58" w:rsidP="003A6D47">
      <w:pPr>
        <w:jc w:val="center"/>
        <w:rPr>
          <w:rFonts w:ascii="Arial" w:hAnsi="Arial" w:cs="Arial"/>
        </w:rPr>
      </w:pPr>
    </w:p>
    <w:tbl>
      <w:tblPr>
        <w:tblW w:w="0" w:type="auto"/>
        <w:jc w:val="center"/>
        <w:tblBorders>
          <w:top w:val="double" w:sz="12" w:space="0" w:color="000000"/>
          <w:left w:val="double" w:sz="12" w:space="0" w:color="000000"/>
          <w:bottom w:val="double" w:sz="12" w:space="0" w:color="000000"/>
          <w:right w:val="double" w:sz="12" w:space="0" w:color="000000"/>
          <w:insideV w:val="double" w:sz="12" w:space="0" w:color="000000"/>
        </w:tblBorders>
        <w:tblCellMar>
          <w:left w:w="145" w:type="dxa"/>
          <w:right w:w="145" w:type="dxa"/>
        </w:tblCellMar>
        <w:tblLook w:val="0000" w:firstRow="0" w:lastRow="0" w:firstColumn="0" w:lastColumn="0" w:noHBand="0" w:noVBand="0"/>
      </w:tblPr>
      <w:tblGrid>
        <w:gridCol w:w="2136"/>
        <w:gridCol w:w="2137"/>
      </w:tblGrid>
      <w:tr w:rsidR="003A6D47" w:rsidRPr="00D6462B" w:rsidTr="00A34DFD">
        <w:trPr>
          <w:trHeight w:val="495"/>
          <w:jc w:val="center"/>
        </w:trPr>
        <w:tc>
          <w:tcPr>
            <w:tcW w:w="213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A6D47" w:rsidRPr="00D6462B" w:rsidRDefault="003A6D47" w:rsidP="00A34DFD">
            <w:pPr>
              <w:spacing w:before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Item</w:t>
            </w:r>
          </w:p>
        </w:tc>
        <w:tc>
          <w:tcPr>
            <w:tcW w:w="213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A6D47" w:rsidRPr="00D6462B" w:rsidRDefault="003A6D47" w:rsidP="00A34DFD">
            <w:pPr>
              <w:spacing w:before="80"/>
              <w:ind w:left="-972" w:firstLine="81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Prediction (mA)</w:t>
            </w:r>
          </w:p>
        </w:tc>
      </w:tr>
      <w:tr w:rsidR="003A6D47" w:rsidRPr="00D6462B" w:rsidTr="00A34DFD">
        <w:trPr>
          <w:trHeight w:val="495"/>
          <w:jc w:val="center"/>
        </w:trPr>
        <w:tc>
          <w:tcPr>
            <w:tcW w:w="2136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3A6D47" w:rsidRPr="00B11748" w:rsidRDefault="003A6D47" w:rsidP="00A34DFD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  <w:i/>
              </w:rPr>
              <w:t>I</w:t>
            </w:r>
            <w:r>
              <w:rPr>
                <w:rFonts w:ascii="Arial" w:hAnsi="Arial" w:cs="Arial"/>
                <w:b/>
                <w:bCs/>
                <w:i/>
                <w:vertAlign w:val="subscript"/>
              </w:rPr>
              <w:t>1</w:t>
            </w:r>
          </w:p>
        </w:tc>
        <w:tc>
          <w:tcPr>
            <w:tcW w:w="2137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3A6D47" w:rsidRPr="00D6462B" w:rsidRDefault="003A6D47" w:rsidP="00A34DFD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  <w:tr w:rsidR="003A6D47" w:rsidRPr="00D6462B" w:rsidTr="00A34DFD">
        <w:trPr>
          <w:trHeight w:val="495"/>
          <w:jc w:val="center"/>
        </w:trPr>
        <w:tc>
          <w:tcPr>
            <w:tcW w:w="2136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3A6D47" w:rsidRDefault="003A6D47" w:rsidP="00A34DFD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  <w:i/>
              </w:rPr>
              <w:t>I</w:t>
            </w:r>
            <w:r>
              <w:rPr>
                <w:rFonts w:ascii="Arial" w:hAnsi="Arial" w:cs="Arial"/>
                <w:b/>
                <w:bCs/>
                <w:i/>
                <w:vertAlign w:val="subscript"/>
              </w:rPr>
              <w:t>2</w:t>
            </w:r>
          </w:p>
        </w:tc>
        <w:tc>
          <w:tcPr>
            <w:tcW w:w="2137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3A6D47" w:rsidRDefault="003A6D47" w:rsidP="00A34DFD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  <w:tr w:rsidR="003A6D47" w:rsidRPr="00D6462B" w:rsidTr="00A34DFD">
        <w:trPr>
          <w:trHeight w:val="495"/>
          <w:jc w:val="center"/>
        </w:trPr>
        <w:tc>
          <w:tcPr>
            <w:tcW w:w="2136" w:type="dxa"/>
            <w:tcBorders>
              <w:top w:val="single" w:sz="6" w:space="0" w:color="auto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A6D47" w:rsidRDefault="003A6D47" w:rsidP="00A34DFD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  <w:i/>
              </w:rPr>
              <w:t>I</w:t>
            </w:r>
            <w:r>
              <w:rPr>
                <w:rFonts w:ascii="Arial" w:hAnsi="Arial" w:cs="Arial"/>
                <w:b/>
                <w:bCs/>
                <w:i/>
                <w:vertAlign w:val="subscript"/>
              </w:rPr>
              <w:t>3</w:t>
            </w:r>
          </w:p>
        </w:tc>
        <w:tc>
          <w:tcPr>
            <w:tcW w:w="2137" w:type="dxa"/>
            <w:tcBorders>
              <w:top w:val="single" w:sz="6" w:space="0" w:color="auto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A6D47" w:rsidRDefault="003A6D47" w:rsidP="00A34DFD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</w:tbl>
    <w:p w:rsidR="003A6D47" w:rsidRDefault="003A6D47" w:rsidP="003A6D47">
      <w:pPr>
        <w:jc w:val="both"/>
        <w:rPr>
          <w:sz w:val="23"/>
          <w:szCs w:val="23"/>
        </w:rPr>
        <w:sectPr w:rsidR="003A6D47" w:rsidSect="00A34DFD">
          <w:type w:val="continuous"/>
          <w:pgSz w:w="12240" w:h="15840"/>
          <w:pgMar w:top="720" w:right="1440" w:bottom="288" w:left="1440" w:header="720" w:footer="720" w:gutter="0"/>
          <w:cols w:num="2" w:space="720"/>
          <w:docGrid w:linePitch="360"/>
        </w:sectPr>
      </w:pPr>
    </w:p>
    <w:p w:rsidR="00F650AC" w:rsidRDefault="00F650AC" w:rsidP="003F49E0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1.4</w:t>
      </w:r>
      <w:r>
        <w:rPr>
          <w:rFonts w:ascii="Arial" w:hAnsi="Arial" w:cs="Arial"/>
        </w:rPr>
        <w:tab/>
      </w:r>
      <w:r w:rsidR="007242A6">
        <w:rPr>
          <w:rFonts w:ascii="Arial" w:hAnsi="Arial" w:cs="Arial"/>
        </w:rPr>
        <w:t xml:space="preserve">Confirm </w:t>
      </w:r>
      <w:r w:rsidR="000E64BF">
        <w:rPr>
          <w:rFonts w:ascii="Arial" w:hAnsi="Arial" w:cs="Arial"/>
        </w:rPr>
        <w:t xml:space="preserve">the nodal voltages </w:t>
      </w:r>
      <w:r w:rsidR="00B6378F">
        <w:rPr>
          <w:rFonts w:ascii="Arial" w:hAnsi="Arial" w:cs="Arial"/>
        </w:rPr>
        <w:t>by adding the</w:t>
      </w:r>
      <w:r w:rsidR="007242A6">
        <w:rPr>
          <w:rFonts w:ascii="Arial" w:hAnsi="Arial" w:cs="Arial"/>
        </w:rPr>
        <w:t xml:space="preserve"> superposition</w:t>
      </w:r>
      <w:r w:rsidR="00B6378F">
        <w:rPr>
          <w:rFonts w:ascii="Arial" w:hAnsi="Arial" w:cs="Arial"/>
        </w:rPr>
        <w:t xml:space="preserve"> components</w:t>
      </w:r>
      <w:r w:rsidR="000E64BF">
        <w:rPr>
          <w:rFonts w:ascii="Arial" w:hAnsi="Arial" w:cs="Arial"/>
        </w:rPr>
        <w:t>.</w:t>
      </w:r>
    </w:p>
    <w:p w:rsidR="00F650AC" w:rsidRDefault="00F650AC" w:rsidP="003F49E0">
      <w:pPr>
        <w:ind w:hanging="720"/>
        <w:jc w:val="both"/>
        <w:rPr>
          <w:rFonts w:ascii="Arial" w:hAnsi="Arial" w:cs="Arial"/>
        </w:rPr>
      </w:pPr>
    </w:p>
    <w:p w:rsidR="003F49E0" w:rsidRDefault="00800FE5" w:rsidP="003F49E0">
      <w:pPr>
        <w:ind w:hanging="720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</w:rPr>
        <w:t>1.</w:t>
      </w:r>
      <w:r w:rsidR="00F650AC">
        <w:rPr>
          <w:rFonts w:ascii="Arial" w:hAnsi="Arial" w:cs="Arial"/>
        </w:rPr>
        <w:t>5</w:t>
      </w:r>
      <w:r w:rsidR="003F49E0">
        <w:rPr>
          <w:rFonts w:ascii="Arial" w:hAnsi="Arial" w:cs="Arial"/>
        </w:rPr>
        <w:tab/>
        <w:t xml:space="preserve">Submit a photocopy of the pre-lab at the </w:t>
      </w:r>
      <w:r w:rsidR="003F49E0" w:rsidRPr="003860BC">
        <w:rPr>
          <w:rFonts w:ascii="Arial" w:hAnsi="Arial" w:cs="Arial"/>
          <w:b/>
          <w:i/>
        </w:rPr>
        <w:t>start of</w:t>
      </w:r>
      <w:r w:rsidR="00B11F24">
        <w:rPr>
          <w:rFonts w:ascii="Arial" w:hAnsi="Arial" w:cs="Arial"/>
          <w:b/>
          <w:i/>
        </w:rPr>
        <w:t xml:space="preserve"> the </w:t>
      </w:r>
      <w:r w:rsidR="003F49E0" w:rsidRPr="003860BC">
        <w:rPr>
          <w:rFonts w:ascii="Arial" w:hAnsi="Arial" w:cs="Arial"/>
          <w:b/>
          <w:i/>
        </w:rPr>
        <w:t>lab</w:t>
      </w:r>
      <w:r w:rsidR="00B11F24">
        <w:rPr>
          <w:rFonts w:ascii="Arial" w:hAnsi="Arial" w:cs="Arial"/>
          <w:b/>
          <w:i/>
        </w:rPr>
        <w:t xml:space="preserve"> period</w:t>
      </w:r>
      <w:r w:rsidR="003F49E0" w:rsidRPr="003860BC">
        <w:rPr>
          <w:rFonts w:ascii="Arial" w:hAnsi="Arial" w:cs="Arial"/>
          <w:b/>
          <w:i/>
        </w:rPr>
        <w:t>.</w:t>
      </w:r>
    </w:p>
    <w:p w:rsidR="003F49E0" w:rsidRDefault="003F49E0" w:rsidP="00D347C5">
      <w:pPr>
        <w:ind w:hanging="720"/>
        <w:jc w:val="both"/>
        <w:rPr>
          <w:rFonts w:ascii="Arial" w:hAnsi="Arial" w:cs="Arial"/>
        </w:rPr>
      </w:pPr>
    </w:p>
    <w:p w:rsidR="00D347C5" w:rsidRPr="00651499" w:rsidRDefault="00D347C5" w:rsidP="00D347C5">
      <w:pPr>
        <w:jc w:val="center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</w:rPr>
        <w:br w:type="page"/>
      </w:r>
      <w:r>
        <w:rPr>
          <w:rFonts w:ascii="Arial" w:hAnsi="Arial" w:cs="Arial"/>
          <w:bCs/>
          <w:sz w:val="32"/>
          <w:szCs w:val="32"/>
        </w:rPr>
        <w:lastRenderedPageBreak/>
        <w:t xml:space="preserve">2.0   </w:t>
      </w:r>
      <w:r w:rsidRPr="00651499">
        <w:rPr>
          <w:rFonts w:ascii="Arial" w:hAnsi="Arial" w:cs="Arial"/>
          <w:bCs/>
          <w:sz w:val="32"/>
          <w:szCs w:val="32"/>
        </w:rPr>
        <w:t>LAB PROCEDURE</w:t>
      </w:r>
    </w:p>
    <w:p w:rsidR="00B94E5B" w:rsidRDefault="00B94E5B" w:rsidP="003F49E0">
      <w:pPr>
        <w:ind w:hanging="720"/>
        <w:jc w:val="both"/>
        <w:rPr>
          <w:rFonts w:ascii="Arial" w:hAnsi="Arial" w:cs="Arial"/>
        </w:rPr>
      </w:pPr>
    </w:p>
    <w:p w:rsidR="009336D5" w:rsidRDefault="007242A6" w:rsidP="009E54C1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9336D5">
        <w:rPr>
          <w:rFonts w:ascii="Arial" w:hAnsi="Arial" w:cs="Arial"/>
        </w:rPr>
        <w:t>1</w:t>
      </w:r>
      <w:r>
        <w:rPr>
          <w:rFonts w:ascii="Arial" w:hAnsi="Arial" w:cs="Arial"/>
        </w:rPr>
        <w:tab/>
      </w:r>
      <w:r w:rsidR="009336D5" w:rsidRPr="009336D5">
        <w:rPr>
          <w:rFonts w:ascii="Arial" w:hAnsi="Arial" w:cs="Arial"/>
          <w:b/>
          <w:u w:val="single"/>
        </w:rPr>
        <w:t>Measure Component Values</w:t>
      </w:r>
    </w:p>
    <w:p w:rsidR="009E54C1" w:rsidRDefault="009E54C1" w:rsidP="009336D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Measure the nominal values of each individual component shown i</w:t>
      </w:r>
      <w:r w:rsidR="005C034A">
        <w:rPr>
          <w:rFonts w:ascii="Arial" w:hAnsi="Arial" w:cs="Arial"/>
        </w:rPr>
        <w:t>n Figure 1, using one of the RL</w:t>
      </w:r>
      <w:r>
        <w:rPr>
          <w:rFonts w:ascii="Arial" w:hAnsi="Arial" w:cs="Arial"/>
        </w:rPr>
        <w:t>C meters at the front of lab</w:t>
      </w:r>
      <w:r w:rsidR="005C034A">
        <w:rPr>
          <w:rFonts w:ascii="Arial" w:hAnsi="Arial" w:cs="Arial"/>
        </w:rPr>
        <w:t>. Calculate the percent e</w:t>
      </w:r>
      <w:r w:rsidR="00B11F24">
        <w:rPr>
          <w:rFonts w:ascii="Arial" w:hAnsi="Arial" w:cs="Arial"/>
        </w:rPr>
        <w:t xml:space="preserve">rror for each component. </w:t>
      </w:r>
    </w:p>
    <w:p w:rsidR="00B11F24" w:rsidRDefault="00B11F24" w:rsidP="009336D5">
      <w:pPr>
        <w:jc w:val="both"/>
        <w:rPr>
          <w:rFonts w:ascii="Arial" w:hAnsi="Arial" w:cs="Arial"/>
        </w:rPr>
      </w:pPr>
    </w:p>
    <w:p w:rsidR="009E54C1" w:rsidRDefault="008C5A58" w:rsidP="009E54C1">
      <w:pPr>
        <w:jc w:val="center"/>
      </w:pPr>
      <w:r w:rsidRPr="00A4408F">
        <w:rPr>
          <w:rFonts w:ascii="Arial" w:hAnsi="Arial" w:cs="Arial"/>
        </w:rPr>
        <w:object w:dxaOrig="10515" w:dyaOrig="46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0pt;height:249.6pt" o:ole="">
            <v:imagedata r:id="rId9" o:title="" croptop="-2010f" cropbottom="-2010f" cropleft="-898f" cropright="-898f"/>
          </v:shape>
          <o:OLEObject Type="Embed" ProgID="Canvas.Drawing.8" ShapeID="_x0000_i1025" DrawAspect="Content" ObjectID="_1482232015" r:id="rId10"/>
        </w:object>
      </w:r>
    </w:p>
    <w:p w:rsidR="009E54C1" w:rsidRPr="006A5721" w:rsidRDefault="009E54C1" w:rsidP="009E54C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Figure 1—Circuit Diagram for </w:t>
      </w:r>
      <w:r>
        <w:rPr>
          <w:rFonts w:ascii="Arial" w:hAnsi="Arial" w:cs="Arial"/>
          <w:b/>
          <w:i/>
          <w:sz w:val="20"/>
          <w:szCs w:val="20"/>
        </w:rPr>
        <w:t>Nodal &amp; Mesh Analysis</w:t>
      </w:r>
    </w:p>
    <w:p w:rsidR="009E54C1" w:rsidRDefault="009E54C1" w:rsidP="003F49E0">
      <w:pPr>
        <w:ind w:hanging="720"/>
        <w:jc w:val="both"/>
        <w:rPr>
          <w:rFonts w:ascii="Arial" w:hAnsi="Arial" w:cs="Arial"/>
        </w:rPr>
      </w:pPr>
    </w:p>
    <w:p w:rsidR="008C5A58" w:rsidRDefault="008C5A58" w:rsidP="003F49E0">
      <w:pPr>
        <w:ind w:hanging="720"/>
        <w:jc w:val="both"/>
        <w:rPr>
          <w:rFonts w:ascii="Arial" w:hAnsi="Arial" w:cs="Arial"/>
        </w:rPr>
      </w:pPr>
    </w:p>
    <w:p w:rsidR="00F33E58" w:rsidRDefault="003F49E0" w:rsidP="009E54C1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F33E58">
        <w:rPr>
          <w:rFonts w:ascii="Arial" w:hAnsi="Arial" w:cs="Arial"/>
        </w:rPr>
        <w:t>2</w:t>
      </w:r>
      <w:r>
        <w:rPr>
          <w:rFonts w:ascii="Arial" w:hAnsi="Arial" w:cs="Arial"/>
        </w:rPr>
        <w:tab/>
      </w:r>
      <w:r w:rsidR="00F33E58" w:rsidRPr="00F33E58">
        <w:rPr>
          <w:rFonts w:ascii="Arial" w:hAnsi="Arial" w:cs="Arial"/>
          <w:b/>
          <w:u w:val="single"/>
        </w:rPr>
        <w:t xml:space="preserve">Measure Node Voltages </w:t>
      </w:r>
      <w:r w:rsidR="00834D10">
        <w:rPr>
          <w:rFonts w:ascii="Arial" w:hAnsi="Arial" w:cs="Arial"/>
          <w:b/>
          <w:u w:val="single"/>
        </w:rPr>
        <w:t>with Both Sources Active</w:t>
      </w:r>
      <w:r w:rsidR="00F33E58">
        <w:rPr>
          <w:rFonts w:ascii="Arial" w:hAnsi="Arial" w:cs="Arial"/>
        </w:rPr>
        <w:t xml:space="preserve"> </w:t>
      </w:r>
    </w:p>
    <w:p w:rsidR="009E54C1" w:rsidRDefault="009E54C1" w:rsidP="00F33E5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Set t</w:t>
      </w:r>
      <w:r w:rsidR="008C5A58">
        <w:rPr>
          <w:rFonts w:ascii="Arial" w:hAnsi="Arial" w:cs="Arial"/>
        </w:rPr>
        <w:t>he left FG (AWG1) to 2.5 V (peak)</w:t>
      </w:r>
      <w:r>
        <w:rPr>
          <w:rFonts w:ascii="Arial" w:hAnsi="Arial" w:cs="Arial"/>
        </w:rPr>
        <w:t xml:space="preserve"> at 1.5 kHz, zero phase shift</w:t>
      </w:r>
      <w:r w:rsidR="008C5A5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conn</w:t>
      </w:r>
      <w:r w:rsidR="008C5A58">
        <w:rPr>
          <w:rFonts w:ascii="Arial" w:hAnsi="Arial" w:cs="Arial"/>
        </w:rPr>
        <w:t>ect it directly to C</w:t>
      </w:r>
      <w:r>
        <w:rPr>
          <w:rFonts w:ascii="Arial" w:hAnsi="Arial" w:cs="Arial"/>
        </w:rPr>
        <w:t xml:space="preserve">1 of the oscilloscope </w:t>
      </w:r>
      <w:r w:rsidR="00C56CFB">
        <w:rPr>
          <w:rFonts w:ascii="Arial" w:hAnsi="Arial" w:cs="Arial"/>
        </w:rPr>
        <w:t>and trigger off AWG1</w:t>
      </w:r>
      <w:r>
        <w:rPr>
          <w:rFonts w:ascii="Arial" w:hAnsi="Arial" w:cs="Arial"/>
        </w:rPr>
        <w:t xml:space="preserve">.  Then set the right FG (AWG2) to 3.5 V </w:t>
      </w:r>
      <w:r w:rsidR="008C5A58">
        <w:rPr>
          <w:rFonts w:ascii="Arial" w:hAnsi="Arial" w:cs="Arial"/>
        </w:rPr>
        <w:t>(peak)</w:t>
      </w:r>
      <w:r>
        <w:rPr>
          <w:rFonts w:ascii="Arial" w:hAnsi="Arial" w:cs="Arial"/>
        </w:rPr>
        <w:t xml:space="preserve"> at 1.5 kHz, 90</w:t>
      </w:r>
      <w:r w:rsidR="008C5A58">
        <w:rPr>
          <w:rFonts w:ascii="Arial" w:hAnsi="Arial" w:cs="Arial"/>
          <w:vertAlign w:val="superscript"/>
        </w:rPr>
        <w:t>o</w:t>
      </w:r>
      <w:r>
        <w:rPr>
          <w:rFonts w:ascii="Arial" w:hAnsi="Arial" w:cs="Arial"/>
        </w:rPr>
        <w:t xml:space="preserve"> phase shift.  </w:t>
      </w:r>
      <w:r w:rsidR="00192A23">
        <w:rPr>
          <w:rFonts w:ascii="Arial" w:hAnsi="Arial" w:cs="Arial"/>
        </w:rPr>
        <w:t>Determine the nodal voltages that were predict</w:t>
      </w:r>
      <w:r w:rsidR="008C5A58">
        <w:rPr>
          <w:rFonts w:ascii="Arial" w:hAnsi="Arial" w:cs="Arial"/>
        </w:rPr>
        <w:t>ed in Table 1 by moving C</w:t>
      </w:r>
      <w:r w:rsidR="00192A23">
        <w:rPr>
          <w:rFonts w:ascii="Arial" w:hAnsi="Arial" w:cs="Arial"/>
        </w:rPr>
        <w:t>2 around the circuit.</w:t>
      </w:r>
      <w:r w:rsidR="00C56CFB">
        <w:rPr>
          <w:rFonts w:ascii="Arial" w:hAnsi="Arial" w:cs="Arial"/>
        </w:rPr>
        <w:t xml:space="preserve"> </w:t>
      </w:r>
      <w:r w:rsidR="00301817">
        <w:rPr>
          <w:rFonts w:ascii="Arial" w:hAnsi="Arial" w:cs="Arial"/>
        </w:rPr>
        <w:t xml:space="preserve"> Use these nodal voltages to calculate the mesh currents in Table 2.</w:t>
      </w:r>
    </w:p>
    <w:p w:rsidR="00B94E5B" w:rsidRDefault="00B94E5B" w:rsidP="00B94E5B">
      <w:pPr>
        <w:jc w:val="center"/>
        <w:rPr>
          <w:rFonts w:ascii="Arial" w:hAnsi="Arial" w:cs="Arial"/>
        </w:rPr>
      </w:pPr>
    </w:p>
    <w:p w:rsidR="00834D10" w:rsidRDefault="00803CC9" w:rsidP="003F49E0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834D10">
        <w:rPr>
          <w:rFonts w:ascii="Arial" w:hAnsi="Arial" w:cs="Arial"/>
        </w:rPr>
        <w:t>3</w:t>
      </w:r>
      <w:r>
        <w:rPr>
          <w:rFonts w:ascii="Arial" w:hAnsi="Arial" w:cs="Arial"/>
        </w:rPr>
        <w:tab/>
      </w:r>
      <w:r w:rsidR="00834D10" w:rsidRPr="00F33E58">
        <w:rPr>
          <w:rFonts w:ascii="Arial" w:hAnsi="Arial" w:cs="Arial"/>
          <w:b/>
          <w:u w:val="single"/>
        </w:rPr>
        <w:t xml:space="preserve">Measure Node Voltages </w:t>
      </w:r>
      <w:r w:rsidR="00834D10">
        <w:rPr>
          <w:rFonts w:ascii="Arial" w:hAnsi="Arial" w:cs="Arial"/>
          <w:b/>
          <w:u w:val="single"/>
        </w:rPr>
        <w:t>using Superposition</w:t>
      </w:r>
    </w:p>
    <w:p w:rsidR="00803CC9" w:rsidRDefault="00EB3D9B" w:rsidP="00834D1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Re-configure</w:t>
      </w:r>
      <w:r w:rsidR="00895237">
        <w:rPr>
          <w:rFonts w:ascii="Arial" w:hAnsi="Arial" w:cs="Arial"/>
        </w:rPr>
        <w:t xml:space="preserve"> the circuit with only one FG active and the other FG de-activated. When you deactivate the FG you need to </w:t>
      </w:r>
      <w:r>
        <w:rPr>
          <w:rFonts w:ascii="Arial" w:hAnsi="Arial" w:cs="Arial"/>
        </w:rPr>
        <w:t>re</w:t>
      </w:r>
      <w:r w:rsidR="00895237">
        <w:rPr>
          <w:rFonts w:ascii="Arial" w:hAnsi="Arial" w:cs="Arial"/>
        </w:rPr>
        <w:t>place</w:t>
      </w:r>
      <w:r>
        <w:rPr>
          <w:rFonts w:ascii="Arial" w:hAnsi="Arial" w:cs="Arial"/>
        </w:rPr>
        <w:t xml:space="preserve"> it with a short-circuit</w:t>
      </w:r>
      <w:r w:rsidR="00895237">
        <w:rPr>
          <w:rFonts w:ascii="Arial" w:hAnsi="Arial" w:cs="Arial"/>
        </w:rPr>
        <w:t xml:space="preserve">.  Use </w:t>
      </w:r>
      <w:r w:rsidR="00A82C9D">
        <w:rPr>
          <w:rFonts w:ascii="Arial" w:hAnsi="Arial" w:cs="Arial"/>
        </w:rPr>
        <w:t>C</w:t>
      </w:r>
      <w:r w:rsidR="00301817">
        <w:rPr>
          <w:rFonts w:ascii="Arial" w:hAnsi="Arial" w:cs="Arial"/>
        </w:rPr>
        <w:t>2</w:t>
      </w:r>
      <w:r w:rsidR="00895237">
        <w:rPr>
          <w:rFonts w:ascii="Arial" w:hAnsi="Arial" w:cs="Arial"/>
        </w:rPr>
        <w:t xml:space="preserve"> to measure the nodal voltages due to </w:t>
      </w:r>
      <w:r w:rsidR="00895237" w:rsidRPr="00895237">
        <w:rPr>
          <w:rFonts w:ascii="Arial" w:hAnsi="Arial" w:cs="Arial"/>
          <w:b/>
          <w:i/>
          <w:iCs/>
        </w:rPr>
        <w:t>one source acting alone</w:t>
      </w:r>
      <w:r w:rsidR="00895237">
        <w:rPr>
          <w:rFonts w:ascii="Arial" w:hAnsi="Arial" w:cs="Arial"/>
        </w:rPr>
        <w:t xml:space="preserve">, and then repeat this to measure the nodal voltages due to the </w:t>
      </w:r>
      <w:r w:rsidR="00895237" w:rsidRPr="00895237">
        <w:rPr>
          <w:rFonts w:ascii="Arial" w:hAnsi="Arial" w:cs="Arial"/>
          <w:b/>
          <w:i/>
          <w:iCs/>
        </w:rPr>
        <w:t>other source acting alone</w:t>
      </w:r>
      <w:r w:rsidR="00A82C9D">
        <w:rPr>
          <w:rFonts w:ascii="Arial" w:hAnsi="Arial" w:cs="Arial"/>
        </w:rPr>
        <w:t>.  The o</w:t>
      </w:r>
      <w:r w:rsidR="00895237">
        <w:rPr>
          <w:rFonts w:ascii="Arial" w:hAnsi="Arial" w:cs="Arial"/>
        </w:rPr>
        <w:t xml:space="preserve">scilloscope </w:t>
      </w:r>
      <w:r w:rsidR="009149F0">
        <w:rPr>
          <w:rFonts w:ascii="Arial" w:hAnsi="Arial" w:cs="Arial"/>
        </w:rPr>
        <w:t xml:space="preserve">should be triggered off </w:t>
      </w:r>
      <w:r w:rsidR="00301817">
        <w:rPr>
          <w:rFonts w:ascii="Arial" w:hAnsi="Arial" w:cs="Arial"/>
        </w:rPr>
        <w:t>AWG1 even when it is disconnected from the circuit</w:t>
      </w:r>
      <w:r w:rsidR="00B94E5B">
        <w:rPr>
          <w:rFonts w:ascii="Arial" w:hAnsi="Arial" w:cs="Arial"/>
        </w:rPr>
        <w:t>.</w:t>
      </w:r>
      <w:r w:rsidR="009149F0">
        <w:rPr>
          <w:rFonts w:ascii="Arial" w:hAnsi="Arial" w:cs="Arial"/>
        </w:rPr>
        <w:t xml:space="preserve"> </w:t>
      </w:r>
      <w:r w:rsidR="00B94E5B">
        <w:rPr>
          <w:rFonts w:ascii="Arial" w:hAnsi="Arial" w:cs="Arial"/>
        </w:rPr>
        <w:t xml:space="preserve"> </w:t>
      </w:r>
      <w:r w:rsidR="00301817">
        <w:rPr>
          <w:rFonts w:ascii="Arial" w:hAnsi="Arial" w:cs="Arial"/>
        </w:rPr>
        <w:t>Apply superposition to determine the nodal voltages that were predicted in Table 1.</w:t>
      </w:r>
    </w:p>
    <w:p w:rsidR="003F49E0" w:rsidRDefault="003F49E0" w:rsidP="003F49E0">
      <w:pPr>
        <w:ind w:hanging="720"/>
        <w:jc w:val="both"/>
        <w:rPr>
          <w:rFonts w:ascii="Arial" w:hAnsi="Arial" w:cs="Arial"/>
        </w:rPr>
      </w:pPr>
    </w:p>
    <w:p w:rsidR="001924A5" w:rsidRDefault="001924A5" w:rsidP="00834D10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301817">
        <w:rPr>
          <w:rFonts w:ascii="Arial" w:hAnsi="Arial" w:cs="Arial"/>
        </w:rPr>
        <w:t xml:space="preserve">Compute the percent error </w:t>
      </w:r>
      <w:r w:rsidR="00834D10">
        <w:rPr>
          <w:rFonts w:ascii="Arial" w:hAnsi="Arial" w:cs="Arial"/>
        </w:rPr>
        <w:t xml:space="preserve">of the magnitude and phase </w:t>
      </w:r>
      <w:r w:rsidR="00301817">
        <w:rPr>
          <w:rFonts w:ascii="Arial" w:hAnsi="Arial" w:cs="Arial"/>
        </w:rPr>
        <w:t xml:space="preserve">for each item in Tables 1 &amp; 2 </w:t>
      </w:r>
      <w:r w:rsidR="00A82C9D">
        <w:rPr>
          <w:rFonts w:ascii="Arial" w:hAnsi="Arial" w:cs="Arial"/>
        </w:rPr>
        <w:t xml:space="preserve">and state the angle errors in degrees. </w:t>
      </w:r>
      <w:r w:rsidR="00834D10">
        <w:rPr>
          <w:rFonts w:ascii="Arial" w:hAnsi="Arial" w:cs="Arial"/>
        </w:rPr>
        <w:t xml:space="preserve">When considering the comparison of the phase offset, you need to recognize that the reference point of your analysis is zero degrees. </w:t>
      </w:r>
    </w:p>
    <w:p w:rsidR="00A82C9D" w:rsidRDefault="00A82C9D" w:rsidP="00834D10">
      <w:pPr>
        <w:ind w:hanging="720"/>
        <w:jc w:val="both"/>
        <w:rPr>
          <w:rFonts w:ascii="Arial" w:hAnsi="Arial" w:cs="Arial"/>
        </w:rPr>
      </w:pPr>
    </w:p>
    <w:p w:rsidR="00A82C9D" w:rsidRDefault="00A82C9D" w:rsidP="00834D10">
      <w:pPr>
        <w:ind w:hanging="720"/>
        <w:jc w:val="both"/>
        <w:rPr>
          <w:rFonts w:ascii="Arial" w:hAnsi="Arial" w:cs="Arial"/>
        </w:rPr>
      </w:pPr>
    </w:p>
    <w:p w:rsidR="00A82C9D" w:rsidRDefault="00A82C9D" w:rsidP="00A82C9D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2.4</w:t>
      </w:r>
      <w:r>
        <w:rPr>
          <w:rFonts w:ascii="Arial" w:hAnsi="Arial" w:cs="Arial"/>
        </w:rPr>
        <w:tab/>
      </w:r>
      <w:r w:rsidRPr="00622592">
        <w:rPr>
          <w:rFonts w:ascii="Arial" w:hAnsi="Arial" w:cs="Arial"/>
          <w:b/>
          <w:u w:val="single"/>
        </w:rPr>
        <w:t>Completion</w:t>
      </w:r>
    </w:p>
    <w:p w:rsidR="00A82C9D" w:rsidRDefault="00A82C9D" w:rsidP="00A82C9D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The lab-work is finished now make sure your lab notebook is properly completed</w:t>
      </w:r>
      <w:r w:rsidR="00FD6C27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</w:t>
      </w:r>
      <w:bookmarkStart w:id="0" w:name="_GoBack"/>
      <w:bookmarkEnd w:id="0"/>
      <w:r>
        <w:rPr>
          <w:rFonts w:ascii="Arial" w:hAnsi="Arial" w:cs="Arial"/>
        </w:rPr>
        <w:t>Be sure to write a conclusion that shows what you have learned from doing the lab.</w:t>
      </w:r>
    </w:p>
    <w:p w:rsidR="00A82C9D" w:rsidRDefault="00A82C9D" w:rsidP="00A82C9D">
      <w:pPr>
        <w:ind w:hanging="720"/>
        <w:jc w:val="center"/>
        <w:rPr>
          <w:rFonts w:ascii="Arial" w:hAnsi="Arial" w:cs="Arial"/>
        </w:rPr>
        <w:sectPr w:rsidR="00A82C9D" w:rsidSect="00575D75">
          <w:headerReference w:type="default" r:id="rId11"/>
          <w:type w:val="continuous"/>
          <w:pgSz w:w="12240" w:h="15840"/>
          <w:pgMar w:top="288" w:right="1440" w:bottom="288" w:left="1440" w:header="1080" w:footer="0" w:gutter="0"/>
          <w:cols w:space="360"/>
          <w:noEndnote/>
          <w:docGrid w:linePitch="326"/>
        </w:sectPr>
      </w:pPr>
    </w:p>
    <w:p w:rsidR="00A82C9D" w:rsidRDefault="00A82C9D" w:rsidP="00834D10">
      <w:pPr>
        <w:ind w:hanging="720"/>
        <w:jc w:val="both"/>
        <w:rPr>
          <w:rFonts w:ascii="Arial" w:hAnsi="Arial" w:cs="Arial"/>
        </w:rPr>
      </w:pPr>
    </w:p>
    <w:p w:rsidR="001924A5" w:rsidRDefault="001924A5" w:rsidP="009149F0">
      <w:pPr>
        <w:ind w:hanging="720"/>
        <w:jc w:val="right"/>
        <w:rPr>
          <w:rFonts w:ascii="Arial" w:hAnsi="Arial" w:cs="Arial"/>
        </w:rPr>
      </w:pPr>
    </w:p>
    <w:p w:rsidR="00D347C5" w:rsidRPr="000A5B8C" w:rsidRDefault="00D347C5" w:rsidP="00834D10">
      <w:pPr>
        <w:ind w:hanging="720"/>
        <w:jc w:val="both"/>
        <w:rPr>
          <w:rFonts w:ascii="Arial" w:hAnsi="Arial" w:cs="Arial"/>
        </w:rPr>
      </w:pPr>
    </w:p>
    <w:sectPr w:rsidR="00D347C5" w:rsidRPr="000A5B8C" w:rsidSect="00587EB6">
      <w:type w:val="continuous"/>
      <w:pgSz w:w="12240" w:h="15840"/>
      <w:pgMar w:top="615" w:right="1440" w:bottom="360" w:left="1440" w:header="270" w:footer="360" w:gutter="0"/>
      <w:cols w:space="3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3651" w:rsidRDefault="00BD3651" w:rsidP="004D3CFF">
      <w:r>
        <w:separator/>
      </w:r>
    </w:p>
  </w:endnote>
  <w:endnote w:type="continuationSeparator" w:id="0">
    <w:p w:rsidR="00BD3651" w:rsidRDefault="00BD3651" w:rsidP="004D3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2C9D" w:rsidRDefault="00A82C9D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D6C27">
      <w:rPr>
        <w:noProof/>
      </w:rPr>
      <w:t>2</w:t>
    </w:r>
    <w:r>
      <w:rPr>
        <w:noProof/>
      </w:rPr>
      <w:fldChar w:fldCharType="end"/>
    </w:r>
  </w:p>
  <w:p w:rsidR="00A82C9D" w:rsidRDefault="00A82C9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3651" w:rsidRDefault="00BD3651" w:rsidP="004D3CFF">
      <w:r>
        <w:separator/>
      </w:r>
    </w:p>
  </w:footnote>
  <w:footnote w:type="continuationSeparator" w:id="0">
    <w:p w:rsidR="00BD3651" w:rsidRDefault="00BD3651" w:rsidP="004D3C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3CFF" w:rsidRDefault="004D3CFF">
    <w:pPr>
      <w:pStyle w:val="Head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82C9D">
      <w:rPr>
        <w:noProof/>
      </w:rPr>
      <w:t>2</w:t>
    </w:r>
    <w:r>
      <w:fldChar w:fldCharType="end"/>
    </w:r>
  </w:p>
  <w:p w:rsidR="004D3CFF" w:rsidRDefault="004D3CF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2C9D" w:rsidRDefault="00A82C9D" w:rsidP="00575D75">
    <w:pPr>
      <w:pStyle w:val="Header"/>
      <w:jc w:val="right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561B8"/>
    <w:multiLevelType w:val="hybridMultilevel"/>
    <w:tmpl w:val="4C34CF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5A174C2"/>
    <w:multiLevelType w:val="hybridMultilevel"/>
    <w:tmpl w:val="69EAB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B16BC5"/>
    <w:multiLevelType w:val="multilevel"/>
    <w:tmpl w:val="F6AE094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720"/>
        </w:tabs>
        <w:ind w:left="-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080"/>
        </w:tabs>
        <w:ind w:left="-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800"/>
        </w:tabs>
        <w:ind w:left="-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2160"/>
        </w:tabs>
        <w:ind w:left="-21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2880"/>
        </w:tabs>
        <w:ind w:left="-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240"/>
        </w:tabs>
        <w:ind w:left="-32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960"/>
        </w:tabs>
        <w:ind w:left="-3960" w:hanging="1800"/>
      </w:pPr>
      <w:rPr>
        <w:rFonts w:hint="default"/>
      </w:rPr>
    </w:lvl>
  </w:abstractNum>
  <w:abstractNum w:abstractNumId="3">
    <w:nsid w:val="7ADA4C85"/>
    <w:multiLevelType w:val="multilevel"/>
    <w:tmpl w:val="AB6CD46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720"/>
        </w:tabs>
        <w:ind w:left="-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080"/>
        </w:tabs>
        <w:ind w:left="-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800"/>
        </w:tabs>
        <w:ind w:left="-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2160"/>
        </w:tabs>
        <w:ind w:left="-21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2880"/>
        </w:tabs>
        <w:ind w:left="-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240"/>
        </w:tabs>
        <w:ind w:left="-32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960"/>
        </w:tabs>
        <w:ind w:left="-39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10A"/>
    <w:rsid w:val="0000183C"/>
    <w:rsid w:val="00005D44"/>
    <w:rsid w:val="0001078F"/>
    <w:rsid w:val="00027618"/>
    <w:rsid w:val="00057D6A"/>
    <w:rsid w:val="000828E3"/>
    <w:rsid w:val="000A415A"/>
    <w:rsid w:val="000A5B8C"/>
    <w:rsid w:val="000B5085"/>
    <w:rsid w:val="000E64BF"/>
    <w:rsid w:val="000F61D8"/>
    <w:rsid w:val="00100236"/>
    <w:rsid w:val="00101434"/>
    <w:rsid w:val="00101890"/>
    <w:rsid w:val="00103405"/>
    <w:rsid w:val="00115E47"/>
    <w:rsid w:val="00131EDA"/>
    <w:rsid w:val="00133F79"/>
    <w:rsid w:val="00143158"/>
    <w:rsid w:val="00143C86"/>
    <w:rsid w:val="0014741D"/>
    <w:rsid w:val="0018629E"/>
    <w:rsid w:val="001924A5"/>
    <w:rsid w:val="00192A23"/>
    <w:rsid w:val="001B3307"/>
    <w:rsid w:val="001B61A2"/>
    <w:rsid w:val="001D14F3"/>
    <w:rsid w:val="00233937"/>
    <w:rsid w:val="002539DA"/>
    <w:rsid w:val="00255421"/>
    <w:rsid w:val="00256940"/>
    <w:rsid w:val="00260084"/>
    <w:rsid w:val="002633AF"/>
    <w:rsid w:val="002D64E5"/>
    <w:rsid w:val="002E1F84"/>
    <w:rsid w:val="002F0A72"/>
    <w:rsid w:val="00301817"/>
    <w:rsid w:val="00303769"/>
    <w:rsid w:val="0030381A"/>
    <w:rsid w:val="003074A6"/>
    <w:rsid w:val="00323E6D"/>
    <w:rsid w:val="0034527B"/>
    <w:rsid w:val="003575BF"/>
    <w:rsid w:val="00374EB6"/>
    <w:rsid w:val="00382D3E"/>
    <w:rsid w:val="003860BC"/>
    <w:rsid w:val="00391344"/>
    <w:rsid w:val="00395843"/>
    <w:rsid w:val="003A3957"/>
    <w:rsid w:val="003A6D47"/>
    <w:rsid w:val="003C5BED"/>
    <w:rsid w:val="003D2F75"/>
    <w:rsid w:val="003D6C4A"/>
    <w:rsid w:val="003D7286"/>
    <w:rsid w:val="003D72BF"/>
    <w:rsid w:val="003D7887"/>
    <w:rsid w:val="003E4DC2"/>
    <w:rsid w:val="003E5D65"/>
    <w:rsid w:val="003E5DA1"/>
    <w:rsid w:val="003F45ED"/>
    <w:rsid w:val="003F49E0"/>
    <w:rsid w:val="004074E9"/>
    <w:rsid w:val="00427DDD"/>
    <w:rsid w:val="0043260B"/>
    <w:rsid w:val="00434E02"/>
    <w:rsid w:val="00440A86"/>
    <w:rsid w:val="00467036"/>
    <w:rsid w:val="004962EC"/>
    <w:rsid w:val="00497C20"/>
    <w:rsid w:val="004B1AE2"/>
    <w:rsid w:val="004C2543"/>
    <w:rsid w:val="004D3CFF"/>
    <w:rsid w:val="004D7322"/>
    <w:rsid w:val="004E14E2"/>
    <w:rsid w:val="004E31EF"/>
    <w:rsid w:val="004E6D65"/>
    <w:rsid w:val="004F1EFC"/>
    <w:rsid w:val="004F69B9"/>
    <w:rsid w:val="005154E0"/>
    <w:rsid w:val="00556BDE"/>
    <w:rsid w:val="005572F7"/>
    <w:rsid w:val="00562EC5"/>
    <w:rsid w:val="00575245"/>
    <w:rsid w:val="005763CF"/>
    <w:rsid w:val="00587EB6"/>
    <w:rsid w:val="00593EE7"/>
    <w:rsid w:val="005958DB"/>
    <w:rsid w:val="005B4479"/>
    <w:rsid w:val="005C034A"/>
    <w:rsid w:val="005C509D"/>
    <w:rsid w:val="005E4875"/>
    <w:rsid w:val="005E7BB0"/>
    <w:rsid w:val="006353A5"/>
    <w:rsid w:val="00637540"/>
    <w:rsid w:val="00644BB4"/>
    <w:rsid w:val="00651499"/>
    <w:rsid w:val="00684625"/>
    <w:rsid w:val="006A5721"/>
    <w:rsid w:val="006B0313"/>
    <w:rsid w:val="006B1572"/>
    <w:rsid w:val="006D0AAA"/>
    <w:rsid w:val="006D6B1E"/>
    <w:rsid w:val="006E06A5"/>
    <w:rsid w:val="006F6394"/>
    <w:rsid w:val="00713F1D"/>
    <w:rsid w:val="0072072C"/>
    <w:rsid w:val="007242A6"/>
    <w:rsid w:val="0072526A"/>
    <w:rsid w:val="007524FB"/>
    <w:rsid w:val="00766B0D"/>
    <w:rsid w:val="007719EA"/>
    <w:rsid w:val="00774F95"/>
    <w:rsid w:val="00776C6F"/>
    <w:rsid w:val="007A154F"/>
    <w:rsid w:val="007D1FC8"/>
    <w:rsid w:val="007E71B0"/>
    <w:rsid w:val="00800FE5"/>
    <w:rsid w:val="00803CC9"/>
    <w:rsid w:val="00834D10"/>
    <w:rsid w:val="008519B7"/>
    <w:rsid w:val="00862E7F"/>
    <w:rsid w:val="008836F8"/>
    <w:rsid w:val="00885C55"/>
    <w:rsid w:val="00895237"/>
    <w:rsid w:val="008A2850"/>
    <w:rsid w:val="008A6175"/>
    <w:rsid w:val="008C5A58"/>
    <w:rsid w:val="008E50F6"/>
    <w:rsid w:val="009035F4"/>
    <w:rsid w:val="0090693A"/>
    <w:rsid w:val="009149F0"/>
    <w:rsid w:val="009258B7"/>
    <w:rsid w:val="009331A7"/>
    <w:rsid w:val="009336D5"/>
    <w:rsid w:val="00936E91"/>
    <w:rsid w:val="00936F92"/>
    <w:rsid w:val="00956923"/>
    <w:rsid w:val="00961ED6"/>
    <w:rsid w:val="00965D16"/>
    <w:rsid w:val="00982A14"/>
    <w:rsid w:val="00986178"/>
    <w:rsid w:val="009905DA"/>
    <w:rsid w:val="009A0612"/>
    <w:rsid w:val="009A6951"/>
    <w:rsid w:val="009B5D89"/>
    <w:rsid w:val="009C0340"/>
    <w:rsid w:val="009C30AA"/>
    <w:rsid w:val="009D0797"/>
    <w:rsid w:val="009E54C1"/>
    <w:rsid w:val="009E661A"/>
    <w:rsid w:val="009F354E"/>
    <w:rsid w:val="00A01785"/>
    <w:rsid w:val="00A16425"/>
    <w:rsid w:val="00A223B6"/>
    <w:rsid w:val="00A34DFD"/>
    <w:rsid w:val="00A52CA7"/>
    <w:rsid w:val="00A5468D"/>
    <w:rsid w:val="00A54D80"/>
    <w:rsid w:val="00A628A2"/>
    <w:rsid w:val="00A73B8C"/>
    <w:rsid w:val="00A82C9D"/>
    <w:rsid w:val="00A935E9"/>
    <w:rsid w:val="00A96B03"/>
    <w:rsid w:val="00AA2BB8"/>
    <w:rsid w:val="00AD11C9"/>
    <w:rsid w:val="00AD510A"/>
    <w:rsid w:val="00AE14E4"/>
    <w:rsid w:val="00AF12FA"/>
    <w:rsid w:val="00B11748"/>
    <w:rsid w:val="00B11F24"/>
    <w:rsid w:val="00B40C2D"/>
    <w:rsid w:val="00B6378F"/>
    <w:rsid w:val="00B94E5B"/>
    <w:rsid w:val="00BC2C31"/>
    <w:rsid w:val="00BC786A"/>
    <w:rsid w:val="00BD3651"/>
    <w:rsid w:val="00BD42D2"/>
    <w:rsid w:val="00BF15D4"/>
    <w:rsid w:val="00C23AEE"/>
    <w:rsid w:val="00C26711"/>
    <w:rsid w:val="00C44F28"/>
    <w:rsid w:val="00C55116"/>
    <w:rsid w:val="00C56CFB"/>
    <w:rsid w:val="00C81412"/>
    <w:rsid w:val="00C81F6A"/>
    <w:rsid w:val="00C90F0F"/>
    <w:rsid w:val="00C95E00"/>
    <w:rsid w:val="00CD6574"/>
    <w:rsid w:val="00CF3C41"/>
    <w:rsid w:val="00D06BEA"/>
    <w:rsid w:val="00D10B7D"/>
    <w:rsid w:val="00D336D1"/>
    <w:rsid w:val="00D347C5"/>
    <w:rsid w:val="00D41AF2"/>
    <w:rsid w:val="00D50551"/>
    <w:rsid w:val="00D736F1"/>
    <w:rsid w:val="00D75412"/>
    <w:rsid w:val="00D80D09"/>
    <w:rsid w:val="00D812E0"/>
    <w:rsid w:val="00D83264"/>
    <w:rsid w:val="00D83627"/>
    <w:rsid w:val="00D83D90"/>
    <w:rsid w:val="00DA3D9D"/>
    <w:rsid w:val="00DB225F"/>
    <w:rsid w:val="00DB7914"/>
    <w:rsid w:val="00DC3AF9"/>
    <w:rsid w:val="00DC6728"/>
    <w:rsid w:val="00DE0A94"/>
    <w:rsid w:val="00DE36E7"/>
    <w:rsid w:val="00DE4939"/>
    <w:rsid w:val="00DF5EB5"/>
    <w:rsid w:val="00E002A8"/>
    <w:rsid w:val="00E04971"/>
    <w:rsid w:val="00E16426"/>
    <w:rsid w:val="00E30878"/>
    <w:rsid w:val="00E311AE"/>
    <w:rsid w:val="00E41294"/>
    <w:rsid w:val="00E52F1E"/>
    <w:rsid w:val="00E67DF3"/>
    <w:rsid w:val="00E83E8F"/>
    <w:rsid w:val="00E922EB"/>
    <w:rsid w:val="00EB3C1B"/>
    <w:rsid w:val="00EB3D9B"/>
    <w:rsid w:val="00EB54BF"/>
    <w:rsid w:val="00EC4888"/>
    <w:rsid w:val="00EC702C"/>
    <w:rsid w:val="00EC7FAF"/>
    <w:rsid w:val="00EF78B2"/>
    <w:rsid w:val="00F21102"/>
    <w:rsid w:val="00F261B2"/>
    <w:rsid w:val="00F33E58"/>
    <w:rsid w:val="00F37C5D"/>
    <w:rsid w:val="00F409CA"/>
    <w:rsid w:val="00F514E5"/>
    <w:rsid w:val="00F650AC"/>
    <w:rsid w:val="00F770E6"/>
    <w:rsid w:val="00F806E9"/>
    <w:rsid w:val="00F916D7"/>
    <w:rsid w:val="00F95684"/>
    <w:rsid w:val="00FB5052"/>
    <w:rsid w:val="00FC08DD"/>
    <w:rsid w:val="00FC10D3"/>
    <w:rsid w:val="00FD6C27"/>
    <w:rsid w:val="00FE1E8A"/>
    <w:rsid w:val="00FF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5:docId w15:val="{4C9DAADD-B9C2-44C4-8E75-0EC7B836C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Shruti" w:hAnsi="Shrut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character" w:styleId="Hyperlink">
    <w:name w:val="Hyperlink"/>
    <w:rsid w:val="00FC08DD"/>
    <w:rPr>
      <w:color w:val="0000FF"/>
      <w:u w:val="single"/>
    </w:rPr>
  </w:style>
  <w:style w:type="character" w:styleId="FollowedHyperlink">
    <w:name w:val="FollowedHyperlink"/>
    <w:rsid w:val="005763C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763CF"/>
    <w:pPr>
      <w:ind w:left="720"/>
    </w:pPr>
  </w:style>
  <w:style w:type="paragraph" w:styleId="Header">
    <w:name w:val="header"/>
    <w:basedOn w:val="Normal"/>
    <w:link w:val="HeaderChar"/>
    <w:uiPriority w:val="99"/>
    <w:rsid w:val="004D3CF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D3CFF"/>
    <w:rPr>
      <w:rFonts w:ascii="Shruti" w:hAnsi="Shruti"/>
      <w:sz w:val="24"/>
      <w:szCs w:val="24"/>
    </w:rPr>
  </w:style>
  <w:style w:type="paragraph" w:styleId="Footer">
    <w:name w:val="footer"/>
    <w:basedOn w:val="Normal"/>
    <w:link w:val="FooterChar"/>
    <w:uiPriority w:val="99"/>
    <w:rsid w:val="004D3CF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D3CFF"/>
    <w:rPr>
      <w:rFonts w:ascii="Shruti" w:hAnsi="Shruti"/>
      <w:sz w:val="24"/>
      <w:szCs w:val="24"/>
    </w:rPr>
  </w:style>
  <w:style w:type="character" w:styleId="CommentReference">
    <w:name w:val="annotation reference"/>
    <w:rsid w:val="006E06A5"/>
    <w:rPr>
      <w:sz w:val="16"/>
      <w:szCs w:val="16"/>
    </w:rPr>
  </w:style>
  <w:style w:type="paragraph" w:styleId="CommentText">
    <w:name w:val="annotation text"/>
    <w:basedOn w:val="Normal"/>
    <w:link w:val="CommentTextChar"/>
    <w:rsid w:val="006E06A5"/>
    <w:rPr>
      <w:sz w:val="20"/>
      <w:szCs w:val="20"/>
    </w:rPr>
  </w:style>
  <w:style w:type="character" w:customStyle="1" w:styleId="CommentTextChar">
    <w:name w:val="Comment Text Char"/>
    <w:link w:val="CommentText"/>
    <w:rsid w:val="006E06A5"/>
    <w:rPr>
      <w:rFonts w:ascii="Shruti" w:hAnsi="Shruti"/>
    </w:rPr>
  </w:style>
  <w:style w:type="paragraph" w:styleId="CommentSubject">
    <w:name w:val="annotation subject"/>
    <w:basedOn w:val="CommentText"/>
    <w:next w:val="CommentText"/>
    <w:link w:val="CommentSubjectChar"/>
    <w:rsid w:val="006E06A5"/>
    <w:rPr>
      <w:b/>
      <w:bCs/>
    </w:rPr>
  </w:style>
  <w:style w:type="character" w:customStyle="1" w:styleId="CommentSubjectChar">
    <w:name w:val="Comment Subject Char"/>
    <w:link w:val="CommentSubject"/>
    <w:rsid w:val="006E06A5"/>
    <w:rPr>
      <w:rFonts w:ascii="Shruti" w:hAnsi="Shruti"/>
      <w:b/>
      <w:bCs/>
    </w:rPr>
  </w:style>
  <w:style w:type="paragraph" w:styleId="BalloonText">
    <w:name w:val="Balloon Text"/>
    <w:basedOn w:val="Normal"/>
    <w:link w:val="BalloonTextChar"/>
    <w:rsid w:val="006E06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E06A5"/>
    <w:rPr>
      <w:rFonts w:ascii="Tahoma" w:hAnsi="Tahoma" w:cs="Tahoma"/>
      <w:sz w:val="16"/>
      <w:szCs w:val="16"/>
    </w:rPr>
  </w:style>
  <w:style w:type="paragraph" w:styleId="ListNumber">
    <w:name w:val="List Number"/>
    <w:basedOn w:val="Normal"/>
    <w:unhideWhenUsed/>
    <w:rsid w:val="003A6D47"/>
    <w:pPr>
      <w:widowControl/>
      <w:autoSpaceDE/>
      <w:autoSpaceDN/>
      <w:adjustRightInd/>
      <w:ind w:left="810" w:hanging="720"/>
      <w:contextualSpacing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ECE 470  POWER SYSTEMS I</vt:lpstr>
    </vt:vector>
  </TitlesOfParts>
  <Company>Rose-Hulman Institute of Technology</Company>
  <LinksUpToDate>false</LinksUpToDate>
  <CharactersWithSpaces>3242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 470  POWER SYSTEMS I</dc:title>
  <dc:creator>grigg</dc:creator>
  <cp:lastModifiedBy>Rostamkolai, Niusha</cp:lastModifiedBy>
  <cp:revision>5</cp:revision>
  <cp:lastPrinted>2014-05-15T12:39:00Z</cp:lastPrinted>
  <dcterms:created xsi:type="dcterms:W3CDTF">2014-05-15T12:39:00Z</dcterms:created>
  <dcterms:modified xsi:type="dcterms:W3CDTF">2015-01-08T19:21:00Z</dcterms:modified>
</cp:coreProperties>
</file>