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EC10" w14:textId="01B29477" w:rsidR="00F56383" w:rsidRPr="00F3292A" w:rsidRDefault="00F56383" w:rsidP="00C136AD">
      <w:pPr>
        <w:pStyle w:val="Heading1"/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t xml:space="preserve">CSSE 374 – Software Design </w:t>
      </w:r>
    </w:p>
    <w:p w14:paraId="3BDBF762" w14:textId="77777777" w:rsidR="00F56383" w:rsidRPr="00F3292A" w:rsidRDefault="00731D6E" w:rsidP="00C136AD">
      <w:pPr>
        <w:pStyle w:val="Heading2"/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t>Quiz</w:t>
      </w:r>
      <w:r w:rsidR="00177A58" w:rsidRPr="00F3292A">
        <w:rPr>
          <w:rFonts w:ascii="Times New Roman" w:hAnsi="Times New Roman" w:cs="Times New Roman"/>
        </w:rPr>
        <w:t xml:space="preserve"> </w:t>
      </w:r>
      <w:r w:rsidR="00DE6B7F" w:rsidRPr="00F3292A">
        <w:rPr>
          <w:rFonts w:ascii="Times New Roman" w:hAnsi="Times New Roman" w:cs="Times New Roman"/>
        </w:rPr>
        <w:t>9</w:t>
      </w:r>
    </w:p>
    <w:p w14:paraId="00AE2EB7" w14:textId="77777777" w:rsidR="007054BE" w:rsidRDefault="007054BE" w:rsidP="00A151B4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bookmarkStart w:id="0" w:name="OLE_LINK2"/>
      <w:r w:rsidRPr="00F3292A">
        <w:rPr>
          <w:rFonts w:ascii="Times New Roman" w:hAnsi="Times New Roman" w:cs="Times New Roman"/>
        </w:rPr>
        <w:t xml:space="preserve">What are the three architectural building blocks in Software Architectures? </w:t>
      </w:r>
    </w:p>
    <w:p w14:paraId="4C8091A7" w14:textId="77777777" w:rsidR="00A151B4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41E81BA3" w14:textId="77777777" w:rsidR="00A151B4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0FA1BF7F" w14:textId="77777777" w:rsidR="00A151B4" w:rsidRPr="00F3292A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bookmarkEnd w:id="0"/>
    <w:p w14:paraId="72890193" w14:textId="77777777" w:rsidR="00A151B4" w:rsidRDefault="00430E19" w:rsidP="00F24741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  <w:b/>
        </w:rPr>
        <w:t>True</w:t>
      </w:r>
      <w:r w:rsidRPr="00F3292A">
        <w:rPr>
          <w:rFonts w:ascii="Times New Roman" w:hAnsi="Times New Roman" w:cs="Times New Roman"/>
        </w:rPr>
        <w:t xml:space="preserve"> or </w:t>
      </w:r>
      <w:r w:rsidRPr="00F3292A">
        <w:rPr>
          <w:rFonts w:ascii="Times New Roman" w:hAnsi="Times New Roman" w:cs="Times New Roman"/>
          <w:b/>
        </w:rPr>
        <w:t>false</w:t>
      </w:r>
      <w:r w:rsidRPr="00F3292A">
        <w:rPr>
          <w:rFonts w:ascii="Times New Roman" w:hAnsi="Times New Roman" w:cs="Times New Roman"/>
        </w:rPr>
        <w:t xml:space="preserve"> (circle one): </w:t>
      </w:r>
      <w:r w:rsidR="00DE6B7F" w:rsidRPr="00F3292A">
        <w:rPr>
          <w:rFonts w:ascii="Times New Roman" w:hAnsi="Times New Roman" w:cs="Times New Roman"/>
        </w:rPr>
        <w:t>UML package diagrams only show the grouping of classes</w:t>
      </w:r>
      <w:r w:rsidRPr="00F3292A">
        <w:rPr>
          <w:rFonts w:ascii="Times New Roman" w:hAnsi="Times New Roman" w:cs="Times New Roman"/>
        </w:rPr>
        <w:t>.</w:t>
      </w:r>
    </w:p>
    <w:p w14:paraId="3542DA3A" w14:textId="0D0E5FD0" w:rsidR="00DE6B7F" w:rsidRPr="00F3292A" w:rsidRDefault="00E708A7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br/>
      </w:r>
    </w:p>
    <w:p w14:paraId="60BAC24E" w14:textId="55531791" w:rsidR="00DE6B7F" w:rsidRDefault="00DE6B7F" w:rsidP="00A151B4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t>Consider the UML package diagram below that uses the alternative UML approach of</w:t>
      </w:r>
      <w:r w:rsidR="003A3F86" w:rsidRPr="00F3292A">
        <w:rPr>
          <w:rFonts w:ascii="Times New Roman" w:hAnsi="Times New Roman" w:cs="Times New Roman"/>
        </w:rPr>
        <w:t xml:space="preserve"> fully-qualified package names.</w:t>
      </w:r>
      <w:r w:rsidRPr="00F3292A">
        <w:rPr>
          <w:rFonts w:ascii="Times New Roman" w:hAnsi="Times New Roman" w:cs="Times New Roman"/>
        </w:rPr>
        <w:br/>
      </w:r>
      <w:r w:rsidR="00534D73" w:rsidRPr="00F3292A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9C434D1" wp14:editId="472AE31C">
            <wp:extent cx="3335655" cy="18567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92A">
        <w:rPr>
          <w:rFonts w:ascii="Times New Roman" w:hAnsi="Times New Roman" w:cs="Times New Roman"/>
        </w:rPr>
        <w:br/>
        <w:t>Redraw the package diagram using the traditional nested style.</w:t>
      </w:r>
      <w:r w:rsidR="00A151B4">
        <w:rPr>
          <w:rFonts w:ascii="Times New Roman" w:hAnsi="Times New Roman" w:cs="Times New Roman"/>
        </w:rPr>
        <w:t xml:space="preserve">  (If you are submitting this electronically, you can describe what this would look like!)</w:t>
      </w:r>
    </w:p>
    <w:p w14:paraId="709BDC72" w14:textId="77777777" w:rsidR="00DA6B3E" w:rsidRDefault="00DA6B3E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2664EAD7" w14:textId="77777777" w:rsidR="00DA6B3E" w:rsidRDefault="00DA6B3E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08920377" w14:textId="77777777" w:rsidR="00DA6B3E" w:rsidRDefault="00DA6B3E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649B9909" w14:textId="77777777" w:rsidR="00DA6B3E" w:rsidRPr="00F3292A" w:rsidRDefault="00DA6B3E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77BD0A81" w14:textId="77777777" w:rsidR="00DE6B7F" w:rsidRPr="00F3292A" w:rsidRDefault="00DE6B7F" w:rsidP="00DE6B7F">
      <w:pPr>
        <w:pStyle w:val="BodyText"/>
        <w:numPr>
          <w:ilvl w:val="0"/>
          <w:numId w:val="2"/>
        </w:numPr>
        <w:tabs>
          <w:tab w:val="left" w:pos="810"/>
        </w:tabs>
        <w:spacing w:after="240"/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t>List four problems that are mitigated by using a layered architecture:</w:t>
      </w:r>
    </w:p>
    <w:p w14:paraId="2A48E90E" w14:textId="77777777" w:rsidR="00DE6B7F" w:rsidRPr="00F3292A" w:rsidRDefault="00DE6B7F" w:rsidP="00E708A7">
      <w:pPr>
        <w:pStyle w:val="BodyText"/>
        <w:numPr>
          <w:ilvl w:val="0"/>
          <w:numId w:val="21"/>
        </w:numPr>
        <w:tabs>
          <w:tab w:val="left" w:pos="810"/>
        </w:tabs>
        <w:spacing w:after="240"/>
        <w:rPr>
          <w:rFonts w:ascii="Times New Roman" w:hAnsi="Times New Roman" w:cs="Times New Roman"/>
        </w:rPr>
      </w:pPr>
      <w:bookmarkStart w:id="1" w:name="OLE_LINK1"/>
      <w:r w:rsidRPr="00F3292A">
        <w:rPr>
          <w:rFonts w:ascii="Times New Roman" w:hAnsi="Times New Roman" w:cs="Times New Roman"/>
        </w:rPr>
        <w:t xml:space="preserve"> </w:t>
      </w:r>
    </w:p>
    <w:p w14:paraId="4A219108" w14:textId="77777777" w:rsidR="00DE6B7F" w:rsidRPr="00F3292A" w:rsidRDefault="00DE6B7F" w:rsidP="00E708A7">
      <w:pPr>
        <w:pStyle w:val="BodyText"/>
        <w:numPr>
          <w:ilvl w:val="0"/>
          <w:numId w:val="21"/>
        </w:numPr>
        <w:tabs>
          <w:tab w:val="left" w:pos="810"/>
        </w:tabs>
        <w:spacing w:after="240"/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t xml:space="preserve"> </w:t>
      </w:r>
    </w:p>
    <w:p w14:paraId="04C5BCAC" w14:textId="77777777" w:rsidR="00DE6B7F" w:rsidRPr="00F3292A" w:rsidRDefault="00DE6B7F" w:rsidP="00E708A7">
      <w:pPr>
        <w:pStyle w:val="BodyText"/>
        <w:numPr>
          <w:ilvl w:val="0"/>
          <w:numId w:val="21"/>
        </w:numPr>
        <w:tabs>
          <w:tab w:val="left" w:pos="810"/>
        </w:tabs>
        <w:spacing w:after="240"/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t xml:space="preserve"> </w:t>
      </w:r>
    </w:p>
    <w:p w14:paraId="30E3C104" w14:textId="77777777" w:rsidR="00DE6B7F" w:rsidRPr="00F3292A" w:rsidRDefault="00DE6B7F" w:rsidP="00E708A7">
      <w:pPr>
        <w:pStyle w:val="BodyText"/>
        <w:numPr>
          <w:ilvl w:val="0"/>
          <w:numId w:val="21"/>
        </w:numPr>
        <w:tabs>
          <w:tab w:val="left" w:pos="810"/>
        </w:tabs>
        <w:spacing w:after="240"/>
        <w:rPr>
          <w:rFonts w:ascii="Times New Roman" w:hAnsi="Times New Roman" w:cs="Times New Roman"/>
        </w:rPr>
      </w:pPr>
    </w:p>
    <w:bookmarkEnd w:id="1"/>
    <w:p w14:paraId="2C708893" w14:textId="77777777" w:rsidR="008B7558" w:rsidRPr="00F3292A" w:rsidRDefault="008B7558" w:rsidP="00534D73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lastRenderedPageBreak/>
        <w:t>For each of the following common layers in a layered architecture, give an example.  The first one is done for you:</w:t>
      </w:r>
    </w:p>
    <w:p w14:paraId="74344C3C" w14:textId="77777777" w:rsidR="008B7558" w:rsidRPr="00F3292A" w:rsidRDefault="008B7558" w:rsidP="00534D73">
      <w:pPr>
        <w:pStyle w:val="BodyText"/>
        <w:numPr>
          <w:ilvl w:val="0"/>
          <w:numId w:val="21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  <w:b/>
        </w:rPr>
        <w:t>UI</w:t>
      </w:r>
      <w:r w:rsidRPr="00F3292A">
        <w:rPr>
          <w:rFonts w:ascii="Times New Roman" w:hAnsi="Times New Roman" w:cs="Times New Roman"/>
        </w:rPr>
        <w:t>: the client-side code for a web-based system</w:t>
      </w:r>
    </w:p>
    <w:p w14:paraId="155D9C06" w14:textId="77777777" w:rsidR="008B7558" w:rsidRDefault="008B7558" w:rsidP="00A151B4">
      <w:pPr>
        <w:pStyle w:val="BodyText"/>
        <w:numPr>
          <w:ilvl w:val="0"/>
          <w:numId w:val="21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  <w:b/>
        </w:rPr>
        <w:t>Application</w:t>
      </w:r>
      <w:r w:rsidRPr="00F3292A">
        <w:rPr>
          <w:rFonts w:ascii="Times New Roman" w:hAnsi="Times New Roman" w:cs="Times New Roman"/>
        </w:rPr>
        <w:t>:</w:t>
      </w:r>
    </w:p>
    <w:p w14:paraId="797337C1" w14:textId="77777777" w:rsidR="00A151B4" w:rsidRPr="00F3292A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43376054" w14:textId="77777777" w:rsidR="008B7558" w:rsidRDefault="008B7558" w:rsidP="00A151B4">
      <w:pPr>
        <w:pStyle w:val="BodyText"/>
        <w:numPr>
          <w:ilvl w:val="0"/>
          <w:numId w:val="21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  <w:b/>
        </w:rPr>
        <w:t>Domain</w:t>
      </w:r>
      <w:r w:rsidRPr="00F3292A">
        <w:rPr>
          <w:rFonts w:ascii="Times New Roman" w:hAnsi="Times New Roman" w:cs="Times New Roman"/>
        </w:rPr>
        <w:t>:</w:t>
      </w:r>
    </w:p>
    <w:p w14:paraId="23C95E7E" w14:textId="77777777" w:rsidR="00A151B4" w:rsidRDefault="00A151B4" w:rsidP="00A151B4">
      <w:pPr>
        <w:pStyle w:val="ListParagraph"/>
        <w:rPr>
          <w:rFonts w:ascii="Times New Roman" w:hAnsi="Times New Roman" w:cs="Times New Roman"/>
        </w:rPr>
      </w:pPr>
    </w:p>
    <w:p w14:paraId="542ED5B5" w14:textId="77777777" w:rsidR="00A151B4" w:rsidRPr="00F3292A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3E7761AA" w14:textId="77777777" w:rsidR="008B7558" w:rsidRDefault="008B7558" w:rsidP="00A151B4">
      <w:pPr>
        <w:pStyle w:val="BodyText"/>
        <w:numPr>
          <w:ilvl w:val="0"/>
          <w:numId w:val="21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  <w:b/>
        </w:rPr>
        <w:t>Technical Services</w:t>
      </w:r>
      <w:r w:rsidRPr="00F3292A">
        <w:rPr>
          <w:rFonts w:ascii="Times New Roman" w:hAnsi="Times New Roman" w:cs="Times New Roman"/>
        </w:rPr>
        <w:t>:</w:t>
      </w:r>
    </w:p>
    <w:p w14:paraId="7F3AC42A" w14:textId="77777777" w:rsidR="00A151B4" w:rsidRPr="00F3292A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04EA86DC" w14:textId="56397B3E" w:rsidR="00DE6B7F" w:rsidRDefault="00DE6B7F" w:rsidP="00A151B4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t>Why are the software artifacts in the domain layer given names taken from the domain model?</w:t>
      </w:r>
    </w:p>
    <w:p w14:paraId="128C3990" w14:textId="77777777" w:rsidR="00A151B4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2888FBBE" w14:textId="77777777" w:rsidR="00A151B4" w:rsidRPr="00F3292A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34446011" w14:textId="2A2E64DE" w:rsidR="00DE6B7F" w:rsidRDefault="00DE6B7F" w:rsidP="00A151B4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t xml:space="preserve">What’s the difference between a </w:t>
      </w:r>
      <w:r w:rsidRPr="00F3292A">
        <w:rPr>
          <w:rFonts w:ascii="Times New Roman" w:hAnsi="Times New Roman" w:cs="Times New Roman"/>
          <w:b/>
        </w:rPr>
        <w:t>layer</w:t>
      </w:r>
      <w:r w:rsidRPr="00F3292A">
        <w:rPr>
          <w:rFonts w:ascii="Times New Roman" w:hAnsi="Times New Roman" w:cs="Times New Roman"/>
        </w:rPr>
        <w:t xml:space="preserve"> and a </w:t>
      </w:r>
      <w:r w:rsidRPr="00F3292A">
        <w:rPr>
          <w:rFonts w:ascii="Times New Roman" w:hAnsi="Times New Roman" w:cs="Times New Roman"/>
          <w:b/>
        </w:rPr>
        <w:t>partition</w:t>
      </w:r>
      <w:r w:rsidRPr="00F3292A">
        <w:rPr>
          <w:rFonts w:ascii="Times New Roman" w:hAnsi="Times New Roman" w:cs="Times New Roman"/>
        </w:rPr>
        <w:t>?</w:t>
      </w:r>
    </w:p>
    <w:p w14:paraId="50E05F01" w14:textId="77777777" w:rsidR="00A151B4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1B903A71" w14:textId="77777777" w:rsidR="00DA6B3E" w:rsidRPr="00F3292A" w:rsidRDefault="00DA6B3E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67542E72" w14:textId="72DA4C5B" w:rsidR="00A151B4" w:rsidRPr="00A151B4" w:rsidRDefault="00DE6B7F" w:rsidP="00A151B4">
      <w:pPr>
        <w:pStyle w:val="BodyText"/>
        <w:numPr>
          <w:ilvl w:val="0"/>
          <w:numId w:val="2"/>
        </w:numPr>
        <w:tabs>
          <w:tab w:val="left" w:pos="810"/>
        </w:tabs>
        <w:spacing w:line="480" w:lineRule="auto"/>
        <w:rPr>
          <w:rFonts w:ascii="Times New Roman" w:hAnsi="Times New Roman" w:cs="Times New Roman"/>
        </w:rPr>
      </w:pPr>
      <w:r w:rsidRPr="00A151B4">
        <w:rPr>
          <w:rFonts w:ascii="Times New Roman" w:hAnsi="Times New Roman" w:cs="Times New Roman"/>
        </w:rPr>
        <w:t>In the model-view separation principle, “model” is a synonym for the</w:t>
      </w:r>
      <w:r w:rsidR="00B04E52" w:rsidRPr="00A151B4">
        <w:rPr>
          <w:rFonts w:ascii="Times New Roman" w:hAnsi="Times New Roman" w:cs="Times New Roman"/>
        </w:rPr>
        <w:br/>
      </w:r>
      <w:r w:rsidRPr="00A151B4">
        <w:rPr>
          <w:rFonts w:ascii="Times New Roman" w:hAnsi="Times New Roman" w:cs="Times New Roman"/>
        </w:rPr>
        <w:t>_______________ layer and “view” is a synonym for the ______________ layer.</w:t>
      </w:r>
    </w:p>
    <w:p w14:paraId="4AA998B5" w14:textId="77777777" w:rsidR="00A151B4" w:rsidRPr="00F3292A" w:rsidRDefault="00A151B4" w:rsidP="00A151B4">
      <w:pPr>
        <w:pStyle w:val="BodyText"/>
        <w:tabs>
          <w:tab w:val="left" w:pos="810"/>
        </w:tabs>
        <w:spacing w:line="480" w:lineRule="auto"/>
        <w:rPr>
          <w:rFonts w:ascii="Times New Roman" w:hAnsi="Times New Roman" w:cs="Times New Roman"/>
        </w:rPr>
      </w:pPr>
    </w:p>
    <w:p w14:paraId="5D13DC3A" w14:textId="40AB58C3" w:rsidR="00DE6B7F" w:rsidRDefault="00DE6B7F" w:rsidP="00A151B4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F3292A">
        <w:rPr>
          <w:rFonts w:ascii="Times New Roman" w:hAnsi="Times New Roman" w:cs="Times New Roman"/>
        </w:rPr>
        <w:t xml:space="preserve">In a typical layered architecture, where do system operations from SSDs show up as messages? </w:t>
      </w:r>
    </w:p>
    <w:p w14:paraId="242EA2D2" w14:textId="77777777" w:rsidR="00A151B4" w:rsidRDefault="00A151B4" w:rsidP="00A151B4">
      <w:pPr>
        <w:pStyle w:val="ListParagraph"/>
        <w:rPr>
          <w:rFonts w:ascii="Times New Roman" w:hAnsi="Times New Roman" w:cs="Times New Roman"/>
        </w:rPr>
      </w:pPr>
    </w:p>
    <w:p w14:paraId="0878FA80" w14:textId="77777777" w:rsidR="00A151B4" w:rsidRPr="00904542" w:rsidRDefault="00A151B4" w:rsidP="00A151B4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1637F09F" w14:textId="5A9D108B" w:rsidR="00904542" w:rsidRPr="00A151B4" w:rsidRDefault="00904542" w:rsidP="009045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lang w:eastAsia="ar-SA"/>
        </w:rPr>
      </w:pPr>
      <w:r w:rsidRPr="00A151B4">
        <w:rPr>
          <w:rFonts w:ascii="Times New Roman" w:hAnsi="Times New Roman" w:cs="Times New Roman"/>
          <w:color w:val="000000"/>
        </w:rPr>
        <w:t xml:space="preserve">List something (if anything) that became clear to you as a result of </w:t>
      </w:r>
      <w:r w:rsidR="00A151B4" w:rsidRPr="00A151B4">
        <w:rPr>
          <w:rFonts w:ascii="Times New Roman" w:hAnsi="Times New Roman" w:cs="Times New Roman"/>
          <w:color w:val="000000"/>
        </w:rPr>
        <w:t>studying for today’s class</w:t>
      </w:r>
      <w:r w:rsidRPr="00A151B4">
        <w:rPr>
          <w:rFonts w:ascii="Times New Roman" w:hAnsi="Times New Roman" w:cs="Times New Roman"/>
          <w:color w:val="000000"/>
        </w:rPr>
        <w:t xml:space="preserve">. Write </w:t>
      </w:r>
      <w:proofErr w:type="gramStart"/>
      <w:r w:rsidRPr="00A151B4">
        <w:rPr>
          <w:rFonts w:ascii="Times New Roman" w:hAnsi="Times New Roman" w:cs="Times New Roman"/>
          <w:color w:val="000000"/>
        </w:rPr>
        <w:t>None</w:t>
      </w:r>
      <w:proofErr w:type="gramEnd"/>
      <w:r w:rsidRPr="00A151B4">
        <w:rPr>
          <w:rFonts w:ascii="Times New Roman" w:hAnsi="Times New Roman" w:cs="Times New Roman"/>
          <w:color w:val="000000"/>
        </w:rPr>
        <w:t xml:space="preserve"> or N/A otherwise, so I know you gave it some thought. </w:t>
      </w:r>
      <w:r w:rsidRPr="00A151B4">
        <w:rPr>
          <w:rFonts w:ascii="Times New Roman" w:hAnsi="Times New Roman" w:cs="Times New Roman"/>
          <w:color w:val="000000"/>
        </w:rPr>
        <w:br/>
        <w:t xml:space="preserve">(Completely blank answers to feedback questions like this will receive 0 </w:t>
      </w:r>
      <w:proofErr w:type="gramStart"/>
      <w:r w:rsidRPr="00A151B4">
        <w:rPr>
          <w:rFonts w:ascii="Times New Roman" w:hAnsi="Times New Roman" w:cs="Times New Roman"/>
          <w:color w:val="000000"/>
        </w:rPr>
        <w:t>credit</w:t>
      </w:r>
      <w:proofErr w:type="gramEnd"/>
      <w:r w:rsidRPr="00A151B4">
        <w:rPr>
          <w:rFonts w:ascii="Times New Roman" w:hAnsi="Times New Roman" w:cs="Times New Roman"/>
          <w:color w:val="000000"/>
        </w:rPr>
        <w:t>!)</w:t>
      </w:r>
    </w:p>
    <w:p w14:paraId="16F60B36" w14:textId="77777777" w:rsidR="00904542" w:rsidRDefault="00904542" w:rsidP="00904542">
      <w:pPr>
        <w:rPr>
          <w:rFonts w:ascii="Times New Roman" w:hAnsi="Times New Roman" w:cs="Times New Roman"/>
          <w:color w:val="000000"/>
          <w:lang w:eastAsia="ar-SA"/>
        </w:rPr>
      </w:pPr>
    </w:p>
    <w:p w14:paraId="149A0200" w14:textId="77777777" w:rsidR="00904542" w:rsidRPr="00904542" w:rsidRDefault="00904542" w:rsidP="00904542">
      <w:pPr>
        <w:rPr>
          <w:rFonts w:ascii="Times New Roman" w:hAnsi="Times New Roman" w:cs="Times New Roman"/>
          <w:color w:val="000000"/>
          <w:lang w:eastAsia="ar-SA"/>
        </w:rPr>
      </w:pPr>
    </w:p>
    <w:p w14:paraId="5DF48CA3" w14:textId="02B78A2E" w:rsidR="00E313C6" w:rsidRDefault="00904542" w:rsidP="009045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bookmarkStart w:id="2" w:name="_GoBack"/>
      <w:r w:rsidRPr="00904542">
        <w:rPr>
          <w:rFonts w:ascii="Times New Roman" w:hAnsi="Times New Roman" w:cs="Times New Roman"/>
          <w:color w:val="000000"/>
        </w:rPr>
        <w:t xml:space="preserve">Note anything from </w:t>
      </w:r>
      <w:r w:rsidR="00A151B4">
        <w:rPr>
          <w:rFonts w:ascii="Times New Roman" w:hAnsi="Times New Roman" w:cs="Times New Roman"/>
          <w:color w:val="000000"/>
        </w:rPr>
        <w:t>the reading and quiz</w:t>
      </w:r>
      <w:r w:rsidRPr="00904542">
        <w:rPr>
          <w:rFonts w:ascii="Times New Roman" w:hAnsi="Times New Roman" w:cs="Times New Roman"/>
          <w:color w:val="000000"/>
        </w:rPr>
        <w:t xml:space="preserve"> </w:t>
      </w:r>
      <w:bookmarkEnd w:id="2"/>
      <w:r w:rsidRPr="00904542">
        <w:rPr>
          <w:rFonts w:ascii="Times New Roman" w:hAnsi="Times New Roman" w:cs="Times New Roman"/>
          <w:color w:val="000000"/>
        </w:rPr>
        <w:t xml:space="preserve">(or from the course so far) that you still have a question about. If you think about it and there's really nothing, then write </w:t>
      </w:r>
      <w:proofErr w:type="gramStart"/>
      <w:r w:rsidRPr="00904542">
        <w:rPr>
          <w:rFonts w:ascii="Times New Roman" w:hAnsi="Times New Roman" w:cs="Times New Roman"/>
          <w:color w:val="000000"/>
        </w:rPr>
        <w:t>None</w:t>
      </w:r>
      <w:proofErr w:type="gramEnd"/>
      <w:r w:rsidRPr="00904542">
        <w:rPr>
          <w:rFonts w:ascii="Times New Roman" w:hAnsi="Times New Roman" w:cs="Times New Roman"/>
          <w:color w:val="000000"/>
        </w:rPr>
        <w:t xml:space="preserve"> or N/A so I know you gave it some thought.</w:t>
      </w:r>
    </w:p>
    <w:p w14:paraId="563CB2F4" w14:textId="77777777" w:rsidR="00A151B4" w:rsidRDefault="00A151B4" w:rsidP="00A151B4">
      <w:pPr>
        <w:rPr>
          <w:rFonts w:ascii="Times New Roman" w:hAnsi="Times New Roman" w:cs="Times New Roman"/>
          <w:color w:val="000000"/>
        </w:rPr>
      </w:pPr>
    </w:p>
    <w:p w14:paraId="4A9C8AE3" w14:textId="77777777" w:rsidR="00A151B4" w:rsidRPr="00A151B4" w:rsidRDefault="00A151B4" w:rsidP="00A151B4">
      <w:pPr>
        <w:rPr>
          <w:rFonts w:ascii="Times New Roman" w:hAnsi="Times New Roman" w:cs="Times New Roman"/>
          <w:color w:val="000000"/>
        </w:rPr>
      </w:pPr>
    </w:p>
    <w:sectPr w:rsidR="00A151B4" w:rsidRPr="00A151B4" w:rsidSect="00E53108"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25B1D" w14:textId="77777777" w:rsidR="00E84461" w:rsidRDefault="00E84461">
      <w:r>
        <w:separator/>
      </w:r>
    </w:p>
  </w:endnote>
  <w:endnote w:type="continuationSeparator" w:id="0">
    <w:p w14:paraId="3154F2B6" w14:textId="77777777" w:rsidR="00E84461" w:rsidRDefault="00E8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0E34" w14:textId="77777777" w:rsidR="00E84461" w:rsidRDefault="00E84461">
      <w:r>
        <w:separator/>
      </w:r>
    </w:p>
  </w:footnote>
  <w:footnote w:type="continuationSeparator" w:id="0">
    <w:p w14:paraId="0D5F6444" w14:textId="77777777" w:rsidR="00E84461" w:rsidRDefault="00E8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CF64" w14:textId="77777777" w:rsidR="00853E43" w:rsidRDefault="00853E43" w:rsidP="00E53108">
    <w:pPr>
      <w:pStyle w:val="Header"/>
    </w:pPr>
    <w:r>
      <w:tab/>
    </w:r>
    <w:r>
      <w:tab/>
      <w:t>Name: ______________________</w:t>
    </w:r>
  </w:p>
  <w:p w14:paraId="5340FF47" w14:textId="77777777" w:rsidR="00853E43" w:rsidRDefault="00853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79"/>
    <w:multiLevelType w:val="hybridMultilevel"/>
    <w:tmpl w:val="C6F88B6A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E92"/>
    <w:multiLevelType w:val="hybridMultilevel"/>
    <w:tmpl w:val="34C017D6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493"/>
    <w:multiLevelType w:val="hybridMultilevel"/>
    <w:tmpl w:val="467C6A64"/>
    <w:lvl w:ilvl="0" w:tplc="14264916">
      <w:start w:val="1"/>
      <w:numFmt w:val="bullet"/>
      <w:lvlText w:val="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235400"/>
    <w:multiLevelType w:val="hybridMultilevel"/>
    <w:tmpl w:val="764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B14"/>
    <w:multiLevelType w:val="hybridMultilevel"/>
    <w:tmpl w:val="46A0EDF8"/>
    <w:lvl w:ilvl="0" w:tplc="1426491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94A78"/>
    <w:multiLevelType w:val="hybridMultilevel"/>
    <w:tmpl w:val="247030D6"/>
    <w:lvl w:ilvl="0" w:tplc="1426491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90E9E"/>
    <w:multiLevelType w:val="hybridMultilevel"/>
    <w:tmpl w:val="EF205982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65DD"/>
    <w:multiLevelType w:val="hybridMultilevel"/>
    <w:tmpl w:val="EF205982"/>
    <w:lvl w:ilvl="0" w:tplc="1426491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AAF2EC0"/>
    <w:multiLevelType w:val="hybridMultilevel"/>
    <w:tmpl w:val="97F6296A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14988"/>
    <w:multiLevelType w:val="hybridMultilevel"/>
    <w:tmpl w:val="4D24D7E4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07A41"/>
    <w:multiLevelType w:val="hybridMultilevel"/>
    <w:tmpl w:val="A34E63BC"/>
    <w:lvl w:ilvl="0" w:tplc="14264916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1">
    <w:nsid w:val="4CEF2E58"/>
    <w:multiLevelType w:val="hybridMultilevel"/>
    <w:tmpl w:val="2AD4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75992"/>
    <w:multiLevelType w:val="hybridMultilevel"/>
    <w:tmpl w:val="0A5CDAB0"/>
    <w:lvl w:ilvl="0" w:tplc="1426491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AC4D03"/>
    <w:multiLevelType w:val="hybridMultilevel"/>
    <w:tmpl w:val="6A2A2AF2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506C"/>
    <w:multiLevelType w:val="hybridMultilevel"/>
    <w:tmpl w:val="388E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2C4"/>
    <w:multiLevelType w:val="hybridMultilevel"/>
    <w:tmpl w:val="46A0EDF8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6A6336"/>
    <w:multiLevelType w:val="hybridMultilevel"/>
    <w:tmpl w:val="97F6296A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4258A"/>
    <w:multiLevelType w:val="hybridMultilevel"/>
    <w:tmpl w:val="46A0EDF8"/>
    <w:lvl w:ilvl="0" w:tplc="14264916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30241"/>
    <w:multiLevelType w:val="hybridMultilevel"/>
    <w:tmpl w:val="8F0A115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3535B"/>
    <w:multiLevelType w:val="hybridMultilevel"/>
    <w:tmpl w:val="C6F88B6A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A4C89"/>
    <w:multiLevelType w:val="hybridMultilevel"/>
    <w:tmpl w:val="34C017D6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1444D"/>
    <w:multiLevelType w:val="hybridMultilevel"/>
    <w:tmpl w:val="6A2A2AF2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6"/>
  </w:num>
  <w:num w:numId="5">
    <w:abstractNumId w:val="8"/>
  </w:num>
  <w:num w:numId="6">
    <w:abstractNumId w:val="5"/>
  </w:num>
  <w:num w:numId="7">
    <w:abstractNumId w:val="18"/>
  </w:num>
  <w:num w:numId="8">
    <w:abstractNumId w:val="9"/>
  </w:num>
  <w:num w:numId="9">
    <w:abstractNumId w:val="0"/>
  </w:num>
  <w:num w:numId="10">
    <w:abstractNumId w:val="19"/>
  </w:num>
  <w:num w:numId="11">
    <w:abstractNumId w:val="1"/>
  </w:num>
  <w:num w:numId="12">
    <w:abstractNumId w:val="20"/>
  </w:num>
  <w:num w:numId="13">
    <w:abstractNumId w:val="3"/>
  </w:num>
  <w:num w:numId="14">
    <w:abstractNumId w:val="4"/>
  </w:num>
  <w:num w:numId="15">
    <w:abstractNumId w:val="17"/>
  </w:num>
  <w:num w:numId="16">
    <w:abstractNumId w:val="15"/>
  </w:num>
  <w:num w:numId="17">
    <w:abstractNumId w:val="6"/>
  </w:num>
  <w:num w:numId="18">
    <w:abstractNumId w:val="7"/>
  </w:num>
  <w:num w:numId="19">
    <w:abstractNumId w:val="10"/>
  </w:num>
  <w:num w:numId="20">
    <w:abstractNumId w:val="13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83"/>
    <w:rsid w:val="0000605E"/>
    <w:rsid w:val="00061B5D"/>
    <w:rsid w:val="000B2B82"/>
    <w:rsid w:val="000F16B7"/>
    <w:rsid w:val="00110B84"/>
    <w:rsid w:val="00122A57"/>
    <w:rsid w:val="00124624"/>
    <w:rsid w:val="00165B22"/>
    <w:rsid w:val="00170B89"/>
    <w:rsid w:val="00177A58"/>
    <w:rsid w:val="00185036"/>
    <w:rsid w:val="001B140F"/>
    <w:rsid w:val="001B5DAD"/>
    <w:rsid w:val="00246757"/>
    <w:rsid w:val="0028349C"/>
    <w:rsid w:val="002E6DD1"/>
    <w:rsid w:val="002F120D"/>
    <w:rsid w:val="00304059"/>
    <w:rsid w:val="00376891"/>
    <w:rsid w:val="003876BE"/>
    <w:rsid w:val="003A3F86"/>
    <w:rsid w:val="003C2418"/>
    <w:rsid w:val="003D0870"/>
    <w:rsid w:val="003E5910"/>
    <w:rsid w:val="00430E19"/>
    <w:rsid w:val="00450889"/>
    <w:rsid w:val="00472769"/>
    <w:rsid w:val="004828F7"/>
    <w:rsid w:val="00497B7D"/>
    <w:rsid w:val="004C59E6"/>
    <w:rsid w:val="004E3487"/>
    <w:rsid w:val="0051076D"/>
    <w:rsid w:val="00516FA9"/>
    <w:rsid w:val="0052715E"/>
    <w:rsid w:val="00533832"/>
    <w:rsid w:val="00534D73"/>
    <w:rsid w:val="005366CF"/>
    <w:rsid w:val="005702DB"/>
    <w:rsid w:val="0057789E"/>
    <w:rsid w:val="005D5ADE"/>
    <w:rsid w:val="005E24DA"/>
    <w:rsid w:val="005F6274"/>
    <w:rsid w:val="00606FE6"/>
    <w:rsid w:val="00630677"/>
    <w:rsid w:val="00661443"/>
    <w:rsid w:val="00663009"/>
    <w:rsid w:val="00682089"/>
    <w:rsid w:val="006A5744"/>
    <w:rsid w:val="006D4A3C"/>
    <w:rsid w:val="006E5F77"/>
    <w:rsid w:val="007031C7"/>
    <w:rsid w:val="007034E2"/>
    <w:rsid w:val="007054BE"/>
    <w:rsid w:val="007118D0"/>
    <w:rsid w:val="00731D6E"/>
    <w:rsid w:val="0073282A"/>
    <w:rsid w:val="00736534"/>
    <w:rsid w:val="00742802"/>
    <w:rsid w:val="00743B8B"/>
    <w:rsid w:val="00757656"/>
    <w:rsid w:val="00796912"/>
    <w:rsid w:val="00814613"/>
    <w:rsid w:val="00853E43"/>
    <w:rsid w:val="008540A9"/>
    <w:rsid w:val="008874FE"/>
    <w:rsid w:val="008922CE"/>
    <w:rsid w:val="008B68A1"/>
    <w:rsid w:val="008B7558"/>
    <w:rsid w:val="008C529B"/>
    <w:rsid w:val="00900639"/>
    <w:rsid w:val="00904542"/>
    <w:rsid w:val="00927704"/>
    <w:rsid w:val="00967AC4"/>
    <w:rsid w:val="009B53C0"/>
    <w:rsid w:val="00A151B4"/>
    <w:rsid w:val="00A35534"/>
    <w:rsid w:val="00A644D4"/>
    <w:rsid w:val="00A80A9D"/>
    <w:rsid w:val="00A971ED"/>
    <w:rsid w:val="00AB5620"/>
    <w:rsid w:val="00AC2C8F"/>
    <w:rsid w:val="00AC40E3"/>
    <w:rsid w:val="00B04E52"/>
    <w:rsid w:val="00B802B6"/>
    <w:rsid w:val="00BB4540"/>
    <w:rsid w:val="00C10CE5"/>
    <w:rsid w:val="00C136AD"/>
    <w:rsid w:val="00C168FF"/>
    <w:rsid w:val="00C25F7D"/>
    <w:rsid w:val="00C828D7"/>
    <w:rsid w:val="00CD2D79"/>
    <w:rsid w:val="00CF718B"/>
    <w:rsid w:val="00D241EE"/>
    <w:rsid w:val="00D6154A"/>
    <w:rsid w:val="00D92B70"/>
    <w:rsid w:val="00DA6B3E"/>
    <w:rsid w:val="00DC148F"/>
    <w:rsid w:val="00DE6B7F"/>
    <w:rsid w:val="00E02731"/>
    <w:rsid w:val="00E25EF6"/>
    <w:rsid w:val="00E313C6"/>
    <w:rsid w:val="00E40FA6"/>
    <w:rsid w:val="00E46396"/>
    <w:rsid w:val="00E53108"/>
    <w:rsid w:val="00E62276"/>
    <w:rsid w:val="00E708A7"/>
    <w:rsid w:val="00E84461"/>
    <w:rsid w:val="00E97427"/>
    <w:rsid w:val="00ED5333"/>
    <w:rsid w:val="00EF19E6"/>
    <w:rsid w:val="00F1211A"/>
    <w:rsid w:val="00F24741"/>
    <w:rsid w:val="00F3292A"/>
    <w:rsid w:val="00F3367C"/>
    <w:rsid w:val="00F56383"/>
    <w:rsid w:val="00F75AA5"/>
    <w:rsid w:val="00F772D8"/>
    <w:rsid w:val="00FB5665"/>
    <w:rsid w:val="00FC2FD1"/>
    <w:rsid w:val="00FD22B2"/>
    <w:rsid w:val="00FD4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10E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54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904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54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90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Clifton</dc:creator>
  <cp:lastModifiedBy>Windows User</cp:lastModifiedBy>
  <cp:revision>5</cp:revision>
  <cp:lastPrinted>2009-12-07T21:41:00Z</cp:lastPrinted>
  <dcterms:created xsi:type="dcterms:W3CDTF">2012-11-24T13:38:00Z</dcterms:created>
  <dcterms:modified xsi:type="dcterms:W3CDTF">2012-11-28T15:33:00Z</dcterms:modified>
</cp:coreProperties>
</file>